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AB" w:rsidRPr="00CC6CAB" w:rsidRDefault="00CC6CAB" w:rsidP="00CC6CAB">
      <w:pPr>
        <w:shd w:val="clear" w:color="auto" w:fill="FFFFFF"/>
        <w:spacing w:before="240" w:after="240"/>
        <w:jc w:val="center"/>
        <w:rPr>
          <w:rFonts w:ascii="Artsans" w:eastAsia="Times New Roman" w:hAnsi="Artsans" w:cs="Times New Roman"/>
          <w:color w:val="000000"/>
          <w:szCs w:val="24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Cs w:val="24"/>
          <w:lang w:eastAsia="ru-RU"/>
        </w:rPr>
        <w:t>СТРОИТЕЛЬНЫЕ НОРМЫ И ПРАВИЛА</w:t>
      </w:r>
    </w:p>
    <w:p w:rsidR="00CC6CAB" w:rsidRPr="00CC6CAB" w:rsidRDefault="00CC6CAB" w:rsidP="00CC6CAB">
      <w:pPr>
        <w:shd w:val="clear" w:color="auto" w:fill="FFFFFF"/>
        <w:spacing w:after="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ПРОИЗВОДСТВЕННЫЕ ЗДАНИЯ</w:t>
      </w:r>
    </w:p>
    <w:p w:rsidR="00CC6CAB" w:rsidRPr="00CC6CAB" w:rsidRDefault="00CC6CAB" w:rsidP="00CC6CAB">
      <w:pPr>
        <w:shd w:val="clear" w:color="auto" w:fill="FFFFFF"/>
        <w:spacing w:before="240" w:after="24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0" w:name="_GoBack"/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СНиП 2.09.02-85</w:t>
      </w:r>
      <w:bookmarkEnd w:id="0"/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*</w:t>
      </w:r>
    </w:p>
    <w:p w:rsidR="00CC6CAB" w:rsidRPr="00CC6CAB" w:rsidRDefault="00CC6CAB" w:rsidP="00CC6CAB">
      <w:pPr>
        <w:shd w:val="clear" w:color="auto" w:fill="FFFFFF"/>
        <w:spacing w:after="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ГОССТРОЙ СССР</w:t>
      </w:r>
    </w:p>
    <w:p w:rsidR="00CC6CAB" w:rsidRPr="00CC6CAB" w:rsidRDefault="00CC6CAB" w:rsidP="00CC6CAB">
      <w:pPr>
        <w:shd w:val="clear" w:color="auto" w:fill="FFFFFF"/>
        <w:spacing w:before="240" w:after="24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>МОСКВА 1991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Разработаны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ЦНИИпромзданий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Госстроя СССР (</w:t>
      </w:r>
      <w:proofErr w:type="spellStart"/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Б.С.Ключевич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- руководитель темы, кандидаты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наук 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М.Я. Ройтман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 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Т.Е. Стороженко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), Московским инженерно-строительным институтом им. В.В. Куйбышева Минвуза СССР (д-р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наук 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В.В. Холщевников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Промстройпроектом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Госстроя СССР (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Ю.Ф. </w:t>
      </w:r>
      <w:proofErr w:type="spellStart"/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Розенкранц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), ВНИИПО МВД СССР (канд.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наук 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Л.И. Карпов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; 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В.П. Власов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CC6CAB" w:rsidRPr="00CC6CAB" w:rsidRDefault="00CC6CAB" w:rsidP="00CC6CAB">
      <w:pPr>
        <w:shd w:val="clear" w:color="auto" w:fill="FFFFFF"/>
        <w:spacing w:before="120" w:after="120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ВНЕСЕНЫ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ЦНИИпромзданий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Госстроя СССР.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ПОДГОТОВЛЕНЫ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 УТВЕРЖДЕНИЮ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Главтехнормированием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Госстроя СССР (</w:t>
      </w: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Н.Н. Поляков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).</w:t>
      </w:r>
    </w:p>
    <w:p w:rsidR="00CC6CAB" w:rsidRPr="00CC6CAB" w:rsidRDefault="00CC6CAB" w:rsidP="00CC6CAB">
      <w:pPr>
        <w:shd w:val="clear" w:color="auto" w:fill="FFFFFF"/>
        <w:spacing w:before="120" w:after="120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 введением в действие СНиП 2.09.02-85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«Производственные здания» утрачивает силу глава СНиП II-90-81 «Производственные здания промышленных предприятий».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СНиП 2.09.02-85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внесены изменения № 1 и № 2, утвержденные постановлениями Госстроя СССР № 196 от 27 сентября 1988 г. и № 18 от 24 апреля 1991 г.; изменение № 3, утвержденное постановлением Госстроя России от 31 марта 1994 г. № 18-23.</w:t>
      </w:r>
    </w:p>
    <w:p w:rsidR="00CC6CAB" w:rsidRPr="00CC6CAB" w:rsidRDefault="00CC6CAB" w:rsidP="00CC6CAB">
      <w:pPr>
        <w:shd w:val="clear" w:color="auto" w:fill="FFFFFF"/>
        <w:spacing w:before="120" w:after="120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Пункты, таблицы, в которые внесены изменения, отмечены в настоящих Строительных нормах и правилах звездочкой.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4088"/>
        <w:gridCol w:w="3232"/>
      </w:tblGrid>
      <w:tr w:rsidR="00CC6CAB" w:rsidRPr="00CC6CAB" w:rsidTr="00CC6CAB">
        <w:trPr>
          <w:trHeight w:val="486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Госстрой СССР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Строительные нормы и правила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СНиП 2.09.02-85</w:t>
            </w:r>
            <w:r w:rsidRPr="00CC6CAB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*</w:t>
            </w:r>
          </w:p>
        </w:tc>
      </w:tr>
      <w:tr w:rsidR="00CC6CAB" w:rsidRPr="00CC6CAB" w:rsidTr="00CC6CAB">
        <w:trPr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Взамен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СНиП II-90-81</w:t>
            </w:r>
          </w:p>
        </w:tc>
      </w:tr>
    </w:tbl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Настоящие нормы распространяются на проектирование производственных зданий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и помещений, а также лабораторных зданий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и помещений*.</w:t>
      </w:r>
    </w:p>
    <w:p w:rsidR="00CC6CAB" w:rsidRPr="00CC6CAB" w:rsidRDefault="00CC6CAB" w:rsidP="00CC6CAB">
      <w:pPr>
        <w:shd w:val="clear" w:color="auto" w:fill="FFFFFF"/>
        <w:spacing w:before="120" w:after="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__________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 В 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дальнейшем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- здания.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Настоящие нормы не распространяются на проектирование зданий и помещений для производства и хранения взрывчатых веществ и сре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дств взр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ывания, подземных зданий*.</w:t>
      </w:r>
    </w:p>
    <w:p w:rsidR="00CC6CAB" w:rsidRPr="00CC6CAB" w:rsidRDefault="00CC6CAB" w:rsidP="00CC6CAB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1" w:name="i12734"/>
      <w:r w:rsidRPr="00CC6CAB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1. ОБЩИЕ ПОЛОЖЕНИЯ</w:t>
      </w:r>
      <w:bookmarkEnd w:id="1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1.1. По взрывопожарной и пожарной опасности помещения и здания подразделяются на категории (А, Б, В, Г, Д) в зависимости от размещаемых в них технологических процессов и свойств находящихся (обращающихся) веществ и материалов.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Категории зданий и помещений устанавливаются в технологической части проекта в соответствии с общесоюзными нормами технологического проектирования «Определение категорий помещений и зданий по взрывопожарной и пожарной опасности» (ОНТП 24-86), утвержденными МВД СССР, ведомственными нормами технологического проектирования или специальными перечнями, утвержденными в установленном порядке.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1.2. Общая площадь здания определяется как сумма площадей всех этажей (надземных, включая технические, цокольного и подвальных), измеренных в пределах внутренних поверхностей наружных стен (или осей крайних колонн, где нет наружных стен), тоннелей, внутренних площадок, антресолей, всех ярусов внутренних этажерок, рамп, галерей (горизонтальной проекции) и переходов в другие здания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before="120" w:after="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____________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Термины и определения приведены в обязательном </w:t>
      </w:r>
      <w:hyperlink r:id="rId5" w:anchor="i215374" w:tooltip="прил." w:history="1">
        <w:r w:rsidRPr="00CC6CAB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приложении</w:t>
        </w:r>
      </w:hyperlink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общую площадь здания не включаются площади технического подполья высотой менее 1,8 м до низа выступающих конструкций (в котором не требуются проходы для обслуживания коммуникаций), над подвесными потолками, проектируемыми согласно </w:t>
      </w:r>
      <w:hyperlink r:id="rId6" w:anchor="i96422" w:tooltip="Пункт 2.16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п.2.16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а также площадок для обслуживания подкрановых путей, кранов, конвейеров, монорельсов и светильников.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Площадь помещений, занимающих по высоте два этажа и более в пределах многоэтажного здания (двухсветных 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многосветных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), следует включать в общую площадь в пределах одного этажа.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1.3. Автоматические пожаротушение и пожарную сигнализацию (включая системы оповещения при пожаре) в зданиях следует предусматривать в соответствии с общесоюзными и ведомственными нормативными документами и перечнями зданий и помещений, подлежащих оборудованию установками автоматического пожаротушения, автоматической пожарной сигнализации и оповещения при пожаре, утвержденными министерствами и ведомствами в установленном порядке.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1.4.* 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случаях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когда на предприятии предусматривается возможность использования труда инвалидов, следует соблюдать дополнительные требования, оговоренные в соответствующих пунктах норм, в зависимости от вида инвалидности.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создании на предприятии специализированных цехов (участков), предназначенных для использования труда инвалидов, следует руководствоваться также «Едиными санитарными правилами для предприятий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(производственных объединений), цехов и участков, предназначенных для использования труда инвалидов и пенсионеров по старости» Минздрава СССР (от 01.03.83 г. № 2672-83).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3992"/>
        <w:gridCol w:w="2661"/>
      </w:tblGrid>
      <w:tr w:rsidR="00CC6CAB" w:rsidRPr="00CC6CAB" w:rsidTr="00CC6CAB">
        <w:trPr>
          <w:trHeight w:val="974"/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gramStart"/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Внесены</w:t>
            </w:r>
            <w:proofErr w:type="gramEnd"/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ЦНИИпромзданий</w:t>
            </w:r>
            <w:proofErr w:type="spellEnd"/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Госстроя СССР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Утверждены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постановлением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Госстроя СССР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от 30 декабря 1985 г. № 287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введения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в действие </w:t>
            </w:r>
            <w:r w:rsidRPr="00CC6CAB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1 января 1987 г.</w:t>
            </w:r>
          </w:p>
        </w:tc>
      </w:tr>
    </w:tbl>
    <w:p w:rsidR="00CC6CAB" w:rsidRPr="00CC6CAB" w:rsidRDefault="00CC6CAB" w:rsidP="00CC6CAB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2" w:name="i24775"/>
      <w:r w:rsidRPr="00CC6CAB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2. ОБЪЕМНО-ПЛАНИРОВОЧНЫЕ И КОНСТРУКТИВНЫЕ РЕШЕНИЯ</w:t>
      </w:r>
      <w:bookmarkEnd w:id="2"/>
    </w:p>
    <w:p w:rsidR="00CC6CAB" w:rsidRPr="00CC6CAB" w:rsidRDefault="00CC6CAB" w:rsidP="00CC6CAB">
      <w:pPr>
        <w:keepNext/>
        <w:shd w:val="clear" w:color="auto" w:fill="FFFFFF"/>
        <w:spacing w:before="120" w:after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" w:name="i36933"/>
      <w:r w:rsidRPr="00CC6CAB">
        <w:rPr>
          <w:rFonts w:eastAsia="Times New Roman" w:cs="Times New Roman"/>
          <w:b/>
          <w:bCs/>
          <w:color w:val="000000"/>
          <w:szCs w:val="24"/>
          <w:lang w:eastAsia="ru-RU"/>
        </w:rPr>
        <w:t>Объемно-планировочные решения</w:t>
      </w:r>
      <w:bookmarkEnd w:id="3"/>
    </w:p>
    <w:p w:rsidR="00CC6CAB" w:rsidRPr="00CC6CAB" w:rsidRDefault="00CC6CAB" w:rsidP="00CC6CAB">
      <w:pPr>
        <w:shd w:val="clear" w:color="auto" w:fill="FFFFFF"/>
        <w:spacing w:after="0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2.1. Объемно-планировочные решения зданий и помещений должны обеспечивать возможность реконструкции и технического перевооружения производства, изменения технологических процессов и перехода на новые виды продукции.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При проектировании зданий следует: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объединять, как правило, в одном здании помещения для различных производств, складские, административные и бытовые помещения, а также помещения для инженерного оборудования;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принимать число этажей в пределах, установленных </w:t>
      </w:r>
      <w:hyperlink r:id="rId7" w:anchor="i57931" w:tooltip="Пункт 2.7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2.7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на основании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результатов сравнения технико-экономических показателей вариантов размещения производства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зданиях различной этажности и с учетом обеспечения высокого уровня </w:t>
      </w:r>
      <w:hyperlink r:id="rId8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архитектурных решений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принимать объемно-планировочные решения зданий с учетом сокращения площади наружных ограждающих конструкций;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принимать площадь световых проемов в соответствии с нормами проектирования естественного и искусственного освещения с учетом требований </w:t>
      </w:r>
      <w:hyperlink r:id="rId9" w:anchor="i172543" w:tooltip="Пункт 2.42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п.2.42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принимать здания без световых проемов, если это допускается условиями технологии, санитарно-гигиеническими требованиями и экономически целесообразно;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применять преимущественно здания, сооружения и укрупненные блоки инженерного и технологического оборудования в комплектно-блочном исполнении заводского изготовления;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разрабатывать объемно-планировочные решения с учетом необходимости снижения динамических воздействий на строительные конструкции, технологические процессы и работающих, вызываемых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виброактивным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оборудованием или внешними источниками колебаний.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Архитектурные решения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зданий следует принимать с учетом градостроительных, климатических условий района строительства и характера окружающей застройки. Цветовую отделку интерьеров следует предусматривать в соответствии с </w:t>
      </w:r>
      <w:hyperlink r:id="rId10" w:tooltip="Трубопроводы промышленных предприятий. Опознавательная окраска, предупреждающие знаки и маркировочные щитки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14202-69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и </w:t>
      </w:r>
      <w:hyperlink r:id="rId11" w:tooltip="ССБТ. Цвета сигнальные и знаки безопасности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12.4.026-76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2.4.* Геометрические параметры зданий - модульные размеры пролетов, шагов колонн и высот этажей должны соответствовать требованиям </w:t>
      </w:r>
      <w:hyperlink r:id="rId12" w:tooltip="Здания предприятий. Параметры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23838-89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СЭВ 6084-87), мобильных (инвентарных) зданий - </w:t>
      </w:r>
      <w:hyperlink r:id="rId13" w:tooltip="Здания мобильные (инвентарные). Общие технические условия.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22853-86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При разработке проектов реконструкции существующих зданий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допускаются отступления от указанных параметров, если они обоснованы технологической частью проекта.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2.5. Высота одноэтажных зданий (от пола до низа горизонтальных несущих конструкций на опоре) должна быть не менее 3 м, высота этажа многоэтажных зданий (от пола лестничной площадки данного этажа до пола лестничной площадки вышележащего этажа), за исключением высоты технических этажей, должна быть не менее 3,3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4" w:name="i41139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2.6.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людей и на путях эвакуации не менее 2 м, а в местах нерегулярного прохода людей - не менее 1,8 м. При необходимости въезда в здание пожарных автомобилей высота проездов должна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быть не менее 4,2 м до низа выступающих частей коммуникаций и оборудования.</w:t>
      </w:r>
      <w:bookmarkEnd w:id="4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5" w:name="i57931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2.7. Степень огнестойкости зданий, допустимое число этажей и площадь этажа здания в пределах пожарного отсека (в дальнейшем - площадь этажа) следует принимать по </w:t>
      </w:r>
      <w:bookmarkEnd w:id="5"/>
      <w:r w:rsidRPr="00CC6CAB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fldChar w:fldCharType="begin"/>
      </w:r>
      <w:r w:rsidRPr="00CC6CAB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HYPERLINK "http://tehnorma.ru/normativbase/1/1911/index.htm" \l "i64627" \o "</w:instrText>
      </w:r>
      <w:r w:rsidRPr="00CC6CAB">
        <w:rPr>
          <w:rFonts w:ascii="Artsans" w:eastAsia="Times New Roman" w:hAnsi="Artsans" w:cs="Times New Roman" w:hint="eastAsia"/>
          <w:color w:val="000000"/>
          <w:sz w:val="27"/>
          <w:szCs w:val="27"/>
          <w:lang w:eastAsia="ru-RU"/>
        </w:rPr>
        <w:instrText>Таблица</w:instrText>
      </w:r>
      <w:r w:rsidRPr="00CC6CAB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1" </w:instrText>
      </w:r>
      <w:r w:rsidRPr="00CC6CAB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fldChar w:fldCharType="separate"/>
      </w:r>
      <w:r w:rsidRPr="00CC6CAB">
        <w:rPr>
          <w:rFonts w:eastAsia="Times New Roman" w:cs="Times New Roman"/>
          <w:color w:val="800080"/>
          <w:sz w:val="27"/>
          <w:szCs w:val="27"/>
          <w:u w:val="single"/>
          <w:lang w:eastAsia="ru-RU"/>
        </w:rPr>
        <w:t>табл. 1</w:t>
      </w:r>
      <w:r w:rsidRPr="00CC6CAB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fldChar w:fldCharType="end"/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оборудовании помещений установками автоматического пожаротушения указанные в </w:t>
      </w:r>
      <w:hyperlink r:id="rId14" w:anchor="i64627" w:tooltip="Таблица 1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1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площади этажей допускается увеличивать на 100 %, за исключением зданий 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proofErr w:type="spellEnd"/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 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IIIб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степеней огнестойкости.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Площадь этажа и допустимое число этажей установлены для зданий с помещениями одной категории. При размещении в здании помещений различных категорий площадь этажа и допустимое число этажей определяется по общей категории здания (или пожарного отсека), которая устанавливается в технологической части проекта в соответствии с нормами технологического проектирования.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наличии открытых технологических проемов в перекрытиях смежных этажей суммарная площадь этих этажей не должна превышать площади этажа, указанной в </w:t>
      </w:r>
      <w:hyperlink r:id="rId15" w:anchor="i64627" w:tooltip="Таблица 1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1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before="120" w:after="120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1*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098"/>
        <w:gridCol w:w="1298"/>
        <w:gridCol w:w="1389"/>
        <w:gridCol w:w="1011"/>
        <w:gridCol w:w="1203"/>
      </w:tblGrid>
      <w:tr w:rsidR="00CC6CAB" w:rsidRPr="00CC6CAB" w:rsidTr="00CC6CAB">
        <w:trPr>
          <w:trHeight w:val="20"/>
          <w:tblHeader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bookmarkStart w:id="6" w:name="i64627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зданий или пожарных отсеков</w:t>
            </w:r>
            <w:bookmarkEnd w:id="6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Допустимое число этажей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огнестойкости зданий</w:t>
            </w: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Площадь этажа в пределах пожарного отсека, м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зданий</w:t>
            </w:r>
          </w:p>
        </w:tc>
      </w:tr>
      <w:tr w:rsidR="00CC6CAB" w:rsidRPr="00CC6CAB" w:rsidTr="00CC6CA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одноэтажных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многоэтажных</w:t>
            </w:r>
          </w:p>
        </w:tc>
      </w:tr>
      <w:tr w:rsidR="00CC6CAB" w:rsidRPr="00CC6CAB" w:rsidTr="00CC6CA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 два этажа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 три этажа и более</w:t>
            </w:r>
          </w:p>
        </w:tc>
      </w:tr>
      <w:tr w:rsidR="00CC6CAB" w:rsidRPr="00CC6CAB" w:rsidTr="00CC6CAB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 (за исключением зданий нефтеперерабатывающей, газовой, химической и нефтехимической промышленности)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741"/>
          <w:jc w:val="center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 - здания нефтеперерабатывающей, газовой, химической и нефтехимической промышленности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741"/>
          <w:jc w:val="center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здания нефтеперерабатывающей, газовой, химической и нефтехимической промышленности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7800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10400**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 II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 II</w:t>
            </w:r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ind w:left="14" w:hanging="14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C6CAB" w:rsidRPr="00CC6CAB" w:rsidRDefault="00CC6CAB" w:rsidP="00CC6CAB">
      <w:pPr>
        <w:shd w:val="clear" w:color="auto" w:fill="FFFFFF"/>
        <w:spacing w:before="120" w:after="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___________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* При высоте одно- и двухэтажных зданий не более 18 м (от пола первого этажа до низа горизонтальных несущих конструкций покрытия на опоре).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** При оборудовании пожароопасных помещений двухэтажных зданий установками автоматического пожаротушения.</w:t>
      </w:r>
    </w:p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0"/>
          <w:szCs w:val="20"/>
          <w:lang w:eastAsia="ru-RU"/>
        </w:rPr>
        <w:t>Примечания: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1*. В зданиях I, II, III и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III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а</w:t>
      </w:r>
      <w:proofErr w:type="spellEnd"/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степеней огнестойкости допускается вместо противопожарных стен принимать противопожарные зоны 1-го типа.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2. Лесопильные цехи с числом рам до четырех, деревообрабатывающие цехи первичной обработки древесины и рубильные станции дробления древесины допускается размещать в двухэтажных зданиях V степени огнестойкости при площади этажа 600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3. Помещения категории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мукомольной, крупяной и комбикормовой промышленности допускается размещать в зданиях I и II степеней огнестойкости с числом этажей до 8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включ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4. При определении этажности здания учитываются площадки, ярусы этажерок и антресоли, площадь которых на любой отметке составляет более 40 % площади этажа здания. В 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этом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случае требования к площади этажа определяются как для многоэтажного здания.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5</w:t>
      </w: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Допускается здания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III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а</w:t>
      </w:r>
      <w:proofErr w:type="spellEnd"/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степени огнестойкости категории В проектировать с числом этажей от 3 до 6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включ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 при применении ограждающих конструкций (стен и покрытий) с нулевым пределом распространения огня, плит перекрытий с пределом огнестойкости 0,75 ч, оборудовании пожароопасных помещений установками автоматического пожаротушения и выделении этих помещений противопожарными перегородками 1-го типа. При этом площадь этажа для зданий в три этажа и более следует принимать не более 10400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одноэтажных зданиях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IIIа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степени огнестойкости категории В при применении ограждающих конструкций (стен и покрытий) с нулевым пределом распространения огня, плит перекрытий с пределом огнестойкости 0,75 ч и выделении пожароопасных помещений противопожарными перегородками 1-го типа допускается принимать площадь этажа не более 50000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при оборудовании помещений категорий А, Б и В установками автоматического пожаротушения.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6. Площадь этажа зданий II степени огнестойкости, в которых предусматривается размещение деревообрабатывающих производств, следует принимать: двухэтажных зданий - не более 7800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, трехэтажных и выше - не более 5200 м</w:t>
      </w: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7*. Лабораторные здания НИИ естественных и технических наук I и II степеней огнестойкости категории В допускается проектировать высотой до 10 этажей включительно (при использовании десятого этажа в качестве технического и отметке чистого пола верхнего рабочего этажа не более 30 м от планировочной отметки земли).</w:t>
      </w:r>
    </w:p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7" w:name="i71481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2.8*. В одноэтажных зданиях </w:t>
      </w:r>
      <w:bookmarkEnd w:id="7"/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IVа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 допускается размещать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общей площадью не более 300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При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этом указанные помещения должны выделяться противопожарными перегородками 1-го типа и перекрытиями 3-го типа. Наружные стены этих помещений должны выполняться из негорючих или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трудногорючих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материалов.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Допускается проектировать одноэтажные мобильные здания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IVа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площадью не более 75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2.9.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следует, если это допускается требованиями технологии, размещать у наружных стен и в многоэтажных зданиях - на верхних этажах.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Размещение помещений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подвальных и цокольных этажах не допускается.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2.10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пожара. Эффективность этих мероприятий должна быть обоснована в технологической части проекта. Если указанные мероприятия являются недостаточно эффективными, то технологические процессы с различной взрывопожарной и пожарной опасностью следует размещать в отдельных помещениях; при этом помещения категорий А, Б и В следует отделять одно от другого, а также от помещений категорий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коридоров противопожарными перегородками и противопожарными перекрытиями следующих типов: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зданиях I степени огнестойкости - противопожарными перегородками 1-го типа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противопожарными перекрытиями (междуэтажными и над подвалом) 2-го типа;</w:t>
      </w:r>
    </w:p>
    <w:p w:rsidR="00CC6CAB" w:rsidRPr="00CC6CAB" w:rsidRDefault="00CC6CAB" w:rsidP="00CC6CAB">
      <w:pPr>
        <w:shd w:val="clear" w:color="auto" w:fill="FFFFFF"/>
        <w:spacing w:before="120" w:after="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__________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Типы противопожарных преград приняты в соответствии со </w:t>
      </w:r>
      <w:hyperlink r:id="rId16" w:tooltip="Противопожарные нормы" w:history="1">
        <w:r w:rsidRPr="00CC6CAB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зданиях II, III 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IIIб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степеней огнестойкости - противопожарными перегородками 1-го типа, в зданиях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 - 2-го типа, в зданиях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IVа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 помещения категории В - противопожарными перегородками 2-го типа,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в соответствии с </w:t>
      </w:r>
      <w:hyperlink r:id="rId17" w:anchor="i71481" w:tooltip="Пункт 2.8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2.8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противопожарными перекрытиями (междуэтажными и над подвалом) 3-го типа;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зданиях IV степени огнестойкости - противопожарными перекрытиями 3-го типа над подвалом.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размещении в помещении технологических процессов с одинаковой взрывопожарной и пожарной опасностью необходимость отделения их друг от друга перегородками, а также устройство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тамбур-шлюзов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местах проемов в этих перегородках должны быть обоснованы в технологической части проекта, при этом применение противопожарных перегородок не является обязательным, кроме случаев, предусмотренных нормами технологического проектирования.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2.11. В местах проемов в противопожарных перегородках, отделяющих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 помещений других категорий, коридоров и лестничных клеток, следует предусматривать тамбур-шлюзы с постоянным подпором воздуха в соответствии с требованиями СНиП 2.04.05-86. Ограждающие конструкции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тамбур-шлюзов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проектировать в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соответствии со </w:t>
      </w:r>
      <w:hyperlink r:id="rId18" w:tooltip="Противопожарные нормы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Устройство общих тамбур-шлюзов для двух и более помещений указанных категорий не допускается.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2.12. При проектировании в противопожарных стенах и перегородках проемов, которые не могут закрываться противопожарными дверями или воротами, для сообщения между смежными помещениями категорий В,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местах этих проемов следует предусматривать открытые (без дверей или ворот) тамбуры длиной не менее 4 м, оборудованные установками автоматического пожаротушения на участке длиной 4 м с объемным расходом воды 1 л/с на 1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пола тамбура. Ограждающие конструкции тамбура должны быть противопожарными с пределом огнестойкости 0,75 ч.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2.13. При необходимости устройства в перекрытиях зданий категорий А, Б и В, а также в противопожарных перегородках, отделяющих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 других помещений, проемов, которые не могут закрываться противопожарными дверями или воротами, следует предусматривать комплекс мероприятий по предотвращению распространения пожара и проникания горючих газов, паров легковоспламеняющихся и горючих жидкостей,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пылей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волокон, способных образовать взрывоопасные концентрации, в смежные этажи и помещения; эффективность этих мероприятий должна быть обоснована в технологической части проекта.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8" w:name="i86071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2.14*. Подвалы при размещении в них помещений категорий В должны разделяться противопожарными перегородками 1-го типа на части площадью не более 3000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каждая, при этом ширина каждой части (считая от наружной стены), как правило, не должна превышать 30 м. В указанных помещениях следует предусматривать окна шириной не менее 0,75 м и высотой не менее 1,2 м. Суммарную площадь окон следует принимать не менее 0,2 % площади пола помещений. В помещениях площадью более 1000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следует предусматривать не менее двух окон. Перекрытия над подвалами должны иметь предел огнестойкости не менее 0,75 ч. Коридоры должны быть шириной не менее 2 м с выходами непосредственно наружу или через обособленные лестничные клетки. Перегородки, отделяющие помещения от коридоров, должны быть противопожарными 1-го типа.</w:t>
      </w:r>
      <w:bookmarkEnd w:id="8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Подвалы с помещениями категории В, которые по требованиям технологии производства не могут быть размещены у наружных стен, следует разделять противопожарными перегородками на части площадью не более 1500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каждая с устройством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дымоудаления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соответствии со </w:t>
      </w:r>
      <w:hyperlink r:id="rId19" w:tooltip="СНиП 2.04.05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2.04.05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-86.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подвалах, имеющих выходы непосредственно наружу, помещения категории В площадью 700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и более должны быть оборудованы установками автоматического пожаротушения, менее 700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автоматической пожарной сигнализацией. В подвалах, не имеющих указанных выходов, помещения категории В площадью 300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и более должны быть оборудованы установками автоматического пожаротушения, менее 300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автоматической пожарной сигнализацией.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2.15. 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помещениях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коридорах следует предусматривать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дымоудаление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случай пожара в соответствии со </w:t>
      </w:r>
      <w:hyperlink r:id="rId20" w:tooltip="СНиП 2.04.05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2.04.05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-86.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зданиях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категории А, Б и В коридоры следует разделять через каждые 60 м противопожарными перегородками 2-го типа с дверями 3-го типа.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9" w:name="i96422"/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2.16*. В производственных помещениях, требующих по условиям технологии поддержания в них стабильных параметров воздушной среды, допускается проектировать дополнительные горизонтальные ограждающие конструкции для размещения в пространстве над ними инженерного оборудования и коммуникаций: подвесные (подшивные) потолки - когда для доступа к коммуникациям не требуется предусматривать проход для обслуживающего персонала.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Для обслуживания указанных коммуникаций допускается предусматривать люки и вертикальные стальные лестницы;</w:t>
      </w:r>
      <w:bookmarkEnd w:id="9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технические этажи - когда по условиям технологии для обслуживания инженерного оборудования, коммуникаций и вспомогательных технологических устройств, размещаемых в этом пространстве, требуется устройство проходов, высота которых принимается в соответствии с </w:t>
      </w:r>
      <w:hyperlink r:id="rId21" w:anchor="i41139" w:tooltip="Пункт 2.6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2.6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Подвесные потолки не допускается проектировать в помещениях категорий А и Б.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Конструкции подвесных потолков следует принимать с учетом требований </w:t>
      </w:r>
      <w:hyperlink r:id="rId22" w:tooltip="Противопожарные нормы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*. В зданиях с покрытиями из стального профилированного настила с рулонной или мастичной кровлей заполнение каркаса подвесных потолков и изоляция трубопроводов и воздуховодов, расположенных над подвесными потолками, должны выполняться из негорючих материалов.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наличии в пространстве над подвесным потолком коммуникаций (воздуховодов, трубопроводов или кабельных трасс с числом кабелей более 12) с изоляцией из горючих или трудно горючих материалов следует предусматривать автоматическое пожаротушение. При прокладке в указанном пространстве от 5 до 12 кабелей или электропроводок с такой изоляцией необходимо предусматривать автоматическую пожарную сигнализацию. При прокладке над подвесным потолком кабелей в стальных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водогазопроводных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трубах, трубопроводов и воздухопроводов с негорючей изоляцией пожарную сигнализацию и автоматическое пожаротушение предусматривать не требуется.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2.17. Ввод железнодорожных путей в здания допускается предусматривать в соответствии с технологической частью проекта. При не следует предусматривать въезд локомотивов всех типов в помещения категории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а паровозов и тепловозов - также в помещения категории В и в помещения с конструкциями покрытий или перекрытий из горючих материалов.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2.18. Верх головок рельсов железнодорожных путей должен быть на отметке чистого пола.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2.19. Склады сырья, полуфабрикатов и готовой продукции, размещаемые в производственных зданиях, а также грузовые платформы (рампы) следует проектировать с учетом требований </w:t>
      </w:r>
      <w:hyperlink r:id="rId23" w:tooltip="Складские здания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2.11.01-85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*.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2.20.*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многоэтажных зданиях высотой более 15 м от планировочной отметки земли до отметки чистого пола верхнего этажа (не считая технического) и наличии на отметке более 15 м постоянных рабочих мест или оборудования, которое необходимо обслуживать более 3 раз в смену, следует предусматривать пассажирские лифты.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Грузовые лифты должны предусматриваться в соответствии с технологической частью проекта.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Число и грузоподъемность лифтов следует принимать в зависимости от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пассажир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грузопотоков. При численности работающих (в наиболее многочисленную смену) не более 30 на всех этажах, расположенных выше 15 м, в здании следует предусматривать один лифт.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Перед лифтами в помещениях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всех этажах следует предусматривать тамбур-шлюзы с постоянным подпором воздуха 20 Па (2 кгс/м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). В подвальных этажах перед лифтами следует предусматривать тамбур-шлюзы с подпором воздуха при пожаре 20 Па (2 кгс/м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). Двери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тамбур-шлюзов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 стороны шахт лифтов должны быть выполнены из негорючих материалов, без остекления. В машинных отделениях лифтов зданий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предусматривать постоянный подпор воздуха 20 Па (2 кгс/м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наличии на втором этаже и выше помещений, предназначенных для труда инвалидов, пользующихся креслами-колясками, в здании следует предусматривать пассажирский лифт, если невозможно организовать рабочие места инвалидов на первом этаже. Кабина лифта должна иметь размеры не менее: ширину - 1,1 м, глубину - 2,1 м, ширину дверного проема - 0,85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2.21.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зданиях высотой от планировочной отметки земли до отметки чистого пола верхнего этажа более 30 м следует предусматривать лифтовые холлы, которые должны быть отделены от других помещений коридоров противопожарными перегородками 1-го типа и противопожарными дверями 2-го типа.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шахтах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лифтов при отсутствии из них тамбур-шлюзов должен обеспечиваться во время пожара подпор воздуха в соответствии со СНиП 2.04.05-86.</w:t>
      </w:r>
    </w:p>
    <w:p w:rsidR="00CC6CAB" w:rsidRPr="00CC6CAB" w:rsidRDefault="00CC6CAB" w:rsidP="00CC6CAB">
      <w:pPr>
        <w:keepNext/>
        <w:shd w:val="clear" w:color="auto" w:fill="FFFFFF"/>
        <w:spacing w:before="120" w:after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0" w:name="i107162"/>
      <w:r w:rsidRPr="00CC6CAB">
        <w:rPr>
          <w:rFonts w:eastAsia="Times New Roman" w:cs="Times New Roman"/>
          <w:b/>
          <w:bCs/>
          <w:color w:val="000000"/>
          <w:szCs w:val="24"/>
          <w:lang w:eastAsia="ru-RU"/>
        </w:rPr>
        <w:t>ЭВАКУАЦИЯ ЛЮДЕЙ ИЗ ЗДАНИЙ И ПОМЕЩЕНИЙ</w:t>
      </w:r>
      <w:bookmarkEnd w:id="10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2.22*. Эвакуационные выходы не допускается предусматривать через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тамбур-шлюзы при них, а также через производственные помещения в зданиях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IIIб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IV,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IVа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V степеней огнестойкости.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 предусматривать один эвакуационный выход (без устройства второго) через помещения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 помещений на том же этаже, в которых размещено инженерное оборудование для обслуживания указанных помещений и в которых исключено постоянное пребывание людей, если расстояние от наиболее удаленной точки помещения с инженерным оборудованием до эвакуационного выхода из помещений категорий А и Б не превышает 25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2.23. Эвакуационные выходы из лестничных клеток, расположенных во встройках и вставках высотой не более 4 этажей с помещениями категорий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допускается предусматривать через помещение категорий Г или Д наружу при условии расположения выходов с двух сторон встроек и вставок (если встройки или вставки разделяют здание на изолированные части).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2.24*. Эвакуационные выходы из помещений, расположенных на антресолях и вставках (встройках) в зданиях I, II 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степеней огнестойкости, а также на антресолях одноэтажных мобильных зданий категорий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IVа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огнестойкости, предназначенных для размещения инженерного оборудования зданий, при отсутствии в них постоянных рабочих мест допускается предусматривать на внутренние открытые стальные лестницы, размещенные в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помещениях категорий В, Г и Д и проектируемые согласно </w:t>
      </w:r>
      <w:hyperlink r:id="rId24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(в части уклона и ширины марша).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этом расстоянии от наиболее удаленной точки помещения с инженерным оборудованием до эвакуационного выхода из здания не должно превышать значений, установленных в </w:t>
      </w:r>
      <w:hyperlink r:id="rId25" w:anchor="i117468" w:tooltip="Таблица 2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2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(с учетом длины пути по лестнице, равной ее утроенной высоте), а при размещении указанных лестниц в помещениях категории В - эти помещения и пожароопасные помещения на антресолях и вставках (встройках) должны быть оборудованы установками автоматического пожаротушения.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Допускается предусматривать один выход (без устройства второго) на внутреннюю или наружную открытую стальную лестницу из указанных помещений, в которых расстояние от наиболее удаленной точки помещения до выхода на лестницу не превышает 25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2.25. Ворота для железнодорожного подвижного состава, а также раздвижные и шторные ворота для любого вида транспорта не допускается учитывать в качестве эвакуационных выходов.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2.26*. Допускается предусматривать один эвакуационный выход (без устройства второго):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а) с любого этажа зданий I и II степеней огнестойкости с числом надземных этажей не более четырех, с помещениями категории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 численности работающих в наиболее многочисленной смене на каждом этаже не более пяти и площади этажа не более 300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б) из помещения, расположенного на любом этаже (кроме подвальных и цокольного), если этот выход ведет к двум эвакуационным выходам с этажа, расстояние от наиболее удаленного рабочего места до выхода из помещения не превышает 25 м и численность работающих в наиболее многочисленной смене не превышает: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5 чел. - в помещении категорий А, Б;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25 « -    «          «          категории В;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50 « -    «          «          категорий Г, Д;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в) из помещения категории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площадью не более 300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и при численности работающих в наиболее многочисленной смене не более пяти, расположенного на любом этаже (кроме первого), на наружную стальную лестницу, отвечающую требованиям </w:t>
      </w:r>
      <w:hyperlink r:id="rId26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Ограждающие конструкции лестницы должны быть негорючими. При этом расстояние от наиболее удаленного рабочего места до выхода на лестницу не должно превышать 25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г) из одноэтажных мобильных зданий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площадью не более 54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других категорий - не более 108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При этом численность работающих в наиболее многочисленной смене не должна превышать 5 чел. в зданиях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25 чел. - в зданиях категорий В, Г и Д. В указанных зданиях следует предусматривать 25 % открывающихся наружу окон без защитных сеток и решеток;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д) с любого этажа (яруса) многоэтажных (многоярусных) зданий 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IIIа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 категории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высотой от планировочной отметки земли до отметки пола верхнего этажа (яруса) не более 30 м при площади этажа (яруса) не более 300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на внутреннюю или наружную стальную лестницу, проектируемую согласно </w:t>
      </w:r>
      <w:hyperlink r:id="rId27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(в части уклона и ширины марша). При этом общее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число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работающих в здании в максимальную смену не должно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превышать 5 чел., расстояние от наиболее удаленного рабочего места должно быть не более 25 м, ограждающие конструкции лестницы должны быть выполнены из негорючих материалов. В здании допускается, кроме помещений категории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размещать электротехнические помещения (щиты сигнализации, пульты и шкафы управления, распределительные пункты). Допускается устройство выхода на кровлю с верхней площадки внутренней лестницы через противопожарный люк 2-го типа размером не менее 0,6</w:t>
      </w:r>
      <w:r w:rsidRPr="00CC6CA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0,8 м по закрепленной стальной стремянке.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2.27.В качестве второго выхода со второго и выше расположенных этажей зданий высотой не более 30 м от планировочной отметки земли до отметки пола верхнего этажа допускается предусматривать наружную стальную лестницу, отвечающую требованиям </w:t>
      </w:r>
      <w:hyperlink r:id="rId28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если численность работающих на каждом этаже (кроме первого) в наиболее многочисленной смене не превышает:</w:t>
      </w:r>
      <w:proofErr w:type="gramEnd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15 чел. - в многоэтажных зданиях с помещениями любой категории;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50 чел. - в двухэтажных зданиях с помещениями категории В;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100 чел. - то же, категорий Г и Д.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2.28*. Из подвалов и цокольных этажей площадью более 300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а также из каждой части подвала, предусмотренной </w:t>
      </w:r>
      <w:hyperlink r:id="rId29" w:anchor="i86071" w:tooltip="Пункт 2.14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2.14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следует предусматривать не менее двух эвакуационных выходов. Эвакуационные выходы из подвалов с помещениями категорий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допускается проектировать в помещения указанных категорий, расположенные на первом этаже. Эвакуационные выходы из подвалов с помещениями категории В (в том числе из маслоподвалов и кабельных этажей подвалов) следует, как правило, предусматривать через обособленные лестничные клетки, имеющие выход непосредственно наружу. Допускается использование общих лестничных клеток с устройством обособленного выхода из лестничной клетки наружу, отделенного на высоту двух маршей глухой противопожарной перегородкой 1-го типа.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Из каждого помещения категории В площадью более 1000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следует предусматривать не менее двух выходов (дверей). Выходы должны размещаться так, чтобы не было тупиков более 25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Эвакуационные выходы из подвалов с помещениями категории В, не примыкающих к наружным стенам, допускается предусматривать на первый этаж с помещениями категорий Г и Д. При этом лестницы для выхода на первый этаж должны быть ограждены противопожарными перегородками, в подвале перед лестницами следует предусматривать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тамбур-шлюзы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подпором воздуха при пожаре.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Выходы из подвалов с помещениями категорий В,</w:t>
      </w:r>
      <w:r w:rsidRPr="00CC6CAB">
        <w:rPr>
          <w:rFonts w:eastAsia="Times New Roman" w:cs="Times New Roman"/>
          <w:color w:val="000000"/>
          <w:spacing w:val="60"/>
          <w:sz w:val="27"/>
          <w:szCs w:val="27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предусматривать вне зоны работы подъемно-транспортного оборудования.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2.29. Расстояние от наиболее удаленного рабочего места до ближайшего эвакуационного выхода из помещения непосредственно наружу или в лестничную клетку не должно превышать значений, приведенных в </w:t>
      </w:r>
      <w:hyperlink r:id="rId30" w:anchor="i117468" w:tooltip="Таблица 2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2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before="120" w:after="120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783"/>
        <w:gridCol w:w="1783"/>
        <w:gridCol w:w="1032"/>
        <w:gridCol w:w="1032"/>
        <w:gridCol w:w="1407"/>
        <w:gridCol w:w="188"/>
      </w:tblGrid>
      <w:tr w:rsidR="00CC6CAB" w:rsidRPr="00CC6CAB" w:rsidTr="00CC6CAB">
        <w:trPr>
          <w:trHeight w:val="20"/>
          <w:tblHeader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bookmarkStart w:id="11" w:name="i117468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Объем помещения, тыс. м</w:t>
            </w:r>
            <w:r w:rsidRPr="00CC6CA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bookmarkEnd w:id="11"/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огнестойкости здания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Расстояние, м, при плотности людского потока в общем, чел/м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до 1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св. 1 до 3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св. 3 до 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1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III,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 IV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1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III,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1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A, Б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III,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30"/>
          <w:jc w:val="center"/>
        </w:trPr>
        <w:tc>
          <w:tcPr>
            <w:tcW w:w="11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A, Б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 и более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80 и более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40"/>
          <w:jc w:val="center"/>
        </w:trPr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Независимо от объема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Г, Д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850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 ограничивается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 IV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C6CAB" w:rsidRPr="00CC6CAB" w:rsidTr="00CC6CA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0"/>
          <w:szCs w:val="20"/>
          <w:lang w:eastAsia="ru-RU"/>
        </w:rPr>
        <w:t>Примечания: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1. Плотность людского потока определяется как отношение количества людей, эвакуирующихся по общему проходу, к площади этого прохода.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2. Для помещений площадью более 1000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расстояние, указанное в </w:t>
      </w:r>
      <w:hyperlink r:id="rId31" w:anchor="i117468" w:tooltip="Таблица 2" w:history="1">
        <w:r w:rsidRPr="00CC6CAB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табл. 2</w:t>
        </w:r>
      </w:hyperlink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, включает в себя длину пути по коридору до выхода наружу или в лестничную клетку.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3. Расстояния для помещений категорий А и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установлены с учетом площади разлива легковоспламеняющихся или горючих жидкостей, равной 50 м</w:t>
      </w: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; при других числовых значениях площади разлива указанные в </w:t>
      </w:r>
      <w:hyperlink r:id="rId32" w:anchor="i117468" w:tooltip="Таблица 2" w:history="1">
        <w:r w:rsidRPr="00CC6CAB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табл. 2</w:t>
        </w:r>
      </w:hyperlink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расстояния умножаются на коэффициент 50/F, где F - возможная площадь разлива, определяемая в технологической части проекта.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4. При промежуточных значениях объема помещений расстояния определяются линейной интерполяцией.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Расстояния установлены для помещений высотой до 6 м (для одноэтажных зданий высота принимается до низа ферм); при высоте помещений более 6 м расстояния увеличиваются: при высоте помещения 12 м - на 20 %, 18 м - на 30 %, 24 м - на 40 %, но не более 140 м для помещений категорий А, Б и 240 м - для помещений категории В;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 промежуточных значениях высоты помещений увеличение расстояний определяется линейной интерполяцией.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2.30*. Внутренние этажерки и площадки должны иметь, как правило, не менее двух открытых стальных лестниц. Допускается проектировать одну лестницу при площади пола каждого яруса этажерки или площадки, не превышающей 108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для помещений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400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для помещений категорий В, Г и Д.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Расстояние от наиболее удаленной точки на площадках и этажерках до ближайшего эвакуационного выхода из здания следует принимать по </w:t>
      </w:r>
      <w:hyperlink r:id="rId33" w:anchor="i117468" w:tooltip="Таблица 2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2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с учетом длины пути по открытой лестнице с площадки и этажерки, принимаемой равной утроенной высоте маршей.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Эвакуационные выходы с площадок и ярусов этажерок, площадь которых на любой отметке превышает 40 % площади этажа, при наличии на них постоянных рабочих мест, следует предусматривать через лестничные клетки.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 один из эвакуационных выходов предусматривать на наружную лестницу, проектируемую в соответствии с </w:t>
      </w:r>
      <w:hyperlink r:id="rId34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2.31. Расстояние от наиболее удаленного рабочего места до ближайшего эвакуационного выхода из одноэтажных или двухэтажных зданий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IV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proofErr w:type="spellEnd"/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степени огнестойкости с горючими полимерными утеплителями следует принимать не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более: в одноэтажных зданиях с помещениями категории В - 50 м, категорий Г, Д - 80 м;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двухэтажных зданиях с помещениями категории В - 40 м, категорий Г, Д - 60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Указанные расстояния допускается увеличивать на 50 % , если площадь пола, не занятая оборудованием, в помещениях составляет 75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и более на одного работающего в наиболее многочисленной смене.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одноэтажных зданиях с помещениями категорий В, Г, Д при невозможности соблюдения указанных расстояний эвакуационные выходы необходимо располагать в наружных стенах по периметру зданий через 72 м. Ширина марша лестницы в зависимости от количества людей, эвакуирующихся по ней со второго этажа, а также ширина дверей, коридоров или проходов на путях эвакуации должна приниматься из расчета 0,6 м на 100 чел.</w:t>
      </w:r>
      <w:proofErr w:type="gramEnd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2.32. Расстояние по коридору от двери наиболее удаленного помещения площадью не более 1000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до ближайшего выхода наружу или в лестничную клетку не должно превышать значений, приведенных в </w:t>
      </w:r>
      <w:hyperlink r:id="rId35" w:anchor="i123638" w:tooltip="Таблица 3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3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категории.</w:t>
      </w:r>
    </w:p>
    <w:p w:rsidR="00CC6CAB" w:rsidRPr="00CC6CAB" w:rsidRDefault="00CC6CAB" w:rsidP="00CC6CAB">
      <w:pPr>
        <w:shd w:val="clear" w:color="auto" w:fill="FFFFFF"/>
        <w:spacing w:before="120" w:after="120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081"/>
        <w:gridCol w:w="1298"/>
        <w:gridCol w:w="657"/>
        <w:gridCol w:w="1137"/>
        <w:gridCol w:w="1137"/>
        <w:gridCol w:w="946"/>
      </w:tblGrid>
      <w:tr w:rsidR="00CC6CAB" w:rsidRPr="00CC6CAB" w:rsidTr="00CC6CAB">
        <w:trPr>
          <w:trHeight w:val="20"/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bookmarkStart w:id="12" w:name="i123638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Расположение выхода</w:t>
            </w:r>
            <w:bookmarkEnd w:id="12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огнестойкости здания</w:t>
            </w:r>
          </w:p>
        </w:tc>
        <w:tc>
          <w:tcPr>
            <w:tcW w:w="22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по коридору, м, до выхода наружу или в ближайшую лестничную клетку при плотности людского потока в коридоре, чел/м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C6CAB" w:rsidRPr="00CC6CAB" w:rsidTr="00CC6CA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до 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св. 2 до 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св. 3 до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св. 4 до 5</w:t>
            </w:r>
          </w:p>
        </w:tc>
      </w:tr>
      <w:tr w:rsidR="00CC6CAB" w:rsidRPr="00CC6CAB" w:rsidTr="00CC6CA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Между двумя выходами наружу или лестничными клетками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 IV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Г, Д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III,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C6CAB" w:rsidRPr="00CC6CAB" w:rsidTr="00CC6CAB">
        <w:trPr>
          <w:jc w:val="center"/>
        </w:trPr>
        <w:tc>
          <w:tcPr>
            <w:tcW w:w="17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 тупиковый коридор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ind w:firstLine="16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Независимо от категории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III,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CC6CAB" w:rsidRPr="00CC6CAB" w:rsidRDefault="00CC6CAB" w:rsidP="00CC6CAB">
      <w:pPr>
        <w:shd w:val="clear" w:color="auto" w:fill="FFFFFF"/>
        <w:spacing w:before="120"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CC6CAB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Плотность людского потока в коридоре определяется как отношение количества людей, эвакуирующихся из помещений в коридор, к площади этого коридора, при этом расчетная ширина коридора принимается с учетом требований </w:t>
      </w:r>
      <w:hyperlink r:id="rId36" w:tooltip="Противопожарные нормы" w:history="1">
        <w:r w:rsidRPr="00CC6CAB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2.33.* Ширину эвакуационного выхода (двери) из помещений следует принимать в зависимости от общего количества людей, эвакуирующихся через этот выход, и количества людей на 1 м ширины выхода (двери), установленного </w:t>
      </w:r>
      <w:hyperlink r:id="rId37" w:anchor="i135842" w:tooltip="Таблица 4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4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., но не менее 0,9 м при наличии в числе работающих инвалидов с нарушением работы опорно-двигательного аппарата.</w:t>
      </w:r>
    </w:p>
    <w:p w:rsidR="00CC6CAB" w:rsidRPr="00CC6CAB" w:rsidRDefault="00CC6CAB" w:rsidP="00CC6CAB">
      <w:pPr>
        <w:shd w:val="clear" w:color="auto" w:fill="FFFFFF"/>
        <w:spacing w:before="120" w:after="120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806"/>
        <w:gridCol w:w="2377"/>
        <w:gridCol w:w="3232"/>
      </w:tblGrid>
      <w:tr w:rsidR="00CC6CAB" w:rsidRPr="00CC6CAB" w:rsidTr="00CC6CAB">
        <w:trPr>
          <w:tblHeader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bookmarkStart w:id="13" w:name="i135842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Объем помещения, тыс. м</w:t>
            </w:r>
            <w:r w:rsidRPr="00CC6CA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bookmarkEnd w:id="13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огнестойкости здания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людей на 1 м ширины эвакуационного выхода (двери), чел.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60 и более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80 и более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CC6CAB" w:rsidRPr="00CC6CAB" w:rsidTr="00CC6CAB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 w:line="240" w:lineRule="atLeast"/>
              <w:jc w:val="both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Независимо от объема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Г, 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0"/>
          <w:szCs w:val="20"/>
          <w:lang w:eastAsia="ru-RU"/>
        </w:rPr>
        <w:t>Примечания: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1. Количество людей на 1 м ширины выхода при промежуточных значениях объема помещений определяется интерполяцией.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2. Количество людей на 1 м ширины эвакуационного выхода (двери) из помещений высотой более 6 м увеличивается: при высоте помещения 12 м - на 20 %, 18 м - на 30 %, 24 м - на 40 %; при промежуточных значениях высоты помещений увеличение количества людей на 1 м ширины выхода определяется интерполяцией.</w:t>
      </w:r>
    </w:p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2.34.*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Ширину эвакуационного выхода (двери) из коридора наружу или в лестничную клетку следует принимать в зависимости от общего количества людей, эвакуирующихся через этот выход, и количества людей на 1 м и ширины выхода (двери), установленного </w:t>
      </w:r>
      <w:hyperlink r:id="rId38" w:anchor="i142909" w:tooltip="Таблица 5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табл. 5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но не менее 0,8 м, при наличии в числе работающих инвалидов с нарушением работы опорно-двигательного аппарата - не менее 0,9 м.</w:t>
      </w:r>
      <w:proofErr w:type="gramEnd"/>
    </w:p>
    <w:p w:rsidR="00CC6CAB" w:rsidRPr="00CC6CAB" w:rsidRDefault="00CC6CAB" w:rsidP="00CC6CAB">
      <w:pPr>
        <w:shd w:val="clear" w:color="auto" w:fill="FFFFFF"/>
        <w:spacing w:before="120" w:after="120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594"/>
        <w:gridCol w:w="4706"/>
      </w:tblGrid>
      <w:tr w:rsidR="00CC6CAB" w:rsidRPr="00CC6CAB" w:rsidTr="00CC6CAB">
        <w:trPr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bookmarkStart w:id="14" w:name="i142909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Категория помещения</w:t>
            </w:r>
            <w:bookmarkEnd w:id="14"/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огнестойкости здания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людей на 1 м ширины эвакуационного выхода (двери) из коридора, чел.</w:t>
            </w:r>
          </w:p>
        </w:tc>
      </w:tr>
      <w:tr w:rsidR="00CC6CAB" w:rsidRPr="00CC6CAB" w:rsidTr="00CC6CAB">
        <w:trPr>
          <w:jc w:val="center"/>
        </w:trPr>
        <w:tc>
          <w:tcPr>
            <w:tcW w:w="11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А, Б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4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C6CAB" w:rsidRPr="00CC6CAB" w:rsidTr="00CC6CAB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I, II, III, 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C6CAB" w:rsidRPr="00CC6CAB" w:rsidTr="00CC6CAB">
        <w:trPr>
          <w:jc w:val="center"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Г, Д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I, II, III, </w:t>
            </w: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24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proofErr w:type="spell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  <w:proofErr w:type="gramStart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, IV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C6CAB" w:rsidRPr="00CC6CAB" w:rsidTr="00CC6CA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AB" w:rsidRPr="00CC6CAB" w:rsidRDefault="00CC6CAB" w:rsidP="00CC6CAB">
            <w:pPr>
              <w:spacing w:after="0"/>
              <w:rPr>
                <w:rFonts w:ascii="Artsans" w:eastAsia="Times New Roman" w:hAnsi="Artsans" w:cs="Times New Roman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6CAB" w:rsidRPr="00CC6CAB" w:rsidRDefault="00CC6CAB" w:rsidP="00CC6CAB">
            <w:pPr>
              <w:spacing w:after="0"/>
              <w:jc w:val="center"/>
              <w:rPr>
                <w:rFonts w:ascii="Artsans" w:eastAsia="Times New Roman" w:hAnsi="Artsans" w:cs="Times New Roman"/>
                <w:szCs w:val="24"/>
                <w:lang w:eastAsia="ru-RU"/>
              </w:rPr>
            </w:pPr>
            <w:r w:rsidRPr="00CC6CAB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2.35.*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Ширину марша лестницы следует принимать не менее расчетной ширины эвакуационного выхода (двери) с этажа с наиболее широкой дверью в лестничную клетку, но не менее 1 м. Ширину проходов и лестниц к одиночным рабочим местам допускается принимать 0,7 м, а для эвакуации не более 50 чел. - 0,9 м. При наличии в числе работающих инвалидов с нарушением работы опорно-двигательного аппарата ширину марша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лестницы следует принимать не менее 1,2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2.36. В зданиях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предусматривать незадымляемые лестничные клетки 3-го типа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с естественным освещением и постоянным подпором воздуха в тамбур-шлюзах.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указанных зданиях высотой не более 30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 от планировочной отметки земли до отметки чистого пола верхнего этажа допускается предусматривать обычные лестничные клетки 1-го типа, если помещения категорий А, Б имеют выходы в коридор через тамбур-шлюзы.</w:t>
      </w:r>
      <w:proofErr w:type="gramEnd"/>
    </w:p>
    <w:p w:rsidR="00CC6CAB" w:rsidRPr="00CC6CAB" w:rsidRDefault="00CC6CAB" w:rsidP="00CC6CAB">
      <w:pPr>
        <w:shd w:val="clear" w:color="auto" w:fill="FFFFFF"/>
        <w:spacing w:before="120" w:after="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_________</w:t>
      </w:r>
    </w:p>
    <w:p w:rsidR="00CC6CAB" w:rsidRPr="00CC6CAB" w:rsidRDefault="00CC6CAB" w:rsidP="00CC6CAB">
      <w:pPr>
        <w:shd w:val="clear" w:color="auto" w:fill="FFFFFF"/>
        <w:spacing w:after="12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Типы лестниц приняты в соответствии со </w:t>
      </w:r>
      <w:hyperlink r:id="rId39" w:tooltip="Противопожарные нормы" w:history="1">
        <w:r w:rsidRPr="00CC6CAB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*.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2.37.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зданиях категории В высотой до 30 м от планировочной отметки земли до отметки чистого пола верхнего этажа следует предусматривать обычные лестничные клетки 1-го типа; допускается в этих зданиях предусматривать до 50 % внутренних незадымляемых лестничных клеток 3-го типа с подпором воздуха в тамбур-шлюзах при пожаре.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указанных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зданиях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высотой более 30 м все лестничные клетки должны быть незадымляемыми 2-го типа (с естественным освещением).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2.38. 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зданиях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категорий Г, Д следует предусматривать обычные лестничные клетки 1-го типа (с естественным освещением через окна в наружных стенах). Допускается 50 % лестничных клеток предусматривать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незадымляемыми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3-го типа, без естественного освещения, с подпором воздуха в тамбур-шлюзах при пожаре.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указанных зданиях высотой более 30 м от планировочной отметки земли до отметки чистого пола верхнего этажа обычные лестничные клетки 1-го типа (с естественным освещением) должны разделяться на высоту двух маршей глухой противопожарной перегородкой через каждые 20 м по высоте (с переходом из одной части лестничной клетки в другую вне объема лестничной клетки).</w:t>
      </w:r>
      <w:proofErr w:type="gramEnd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2.39. Незадымляемые лестничные клетки должны иметь эвакуационное освещение.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Незадымляемые лестничные клетки 2-го типа должны разделяться на высоту двух маршей глухой противопожарной перегородкой через каждые 30 м по высоте в зданиях категорий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20 м - в зданиях категории В (с переходом из одной части лестничной клетки в другую вне объема лестничной клетки).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15" w:name="i153976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2.40.*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Ширину тамбуров и тамбур-шлюзов следует принимать более ширины проемов не менее чем на 0,5 м (по 0,25 м с каждой стороны проема), а глубину - более ширины дверного или воротного полотна не менее чем на 0,2 м, но не менее 1,2 м. При наличии в числе работающих инвалидов, пользующихся креслами-колясками, глубину тамбуров и тамбур-шлюзов следует принимать не менее 1,8 м.</w:t>
      </w:r>
      <w:bookmarkEnd w:id="15"/>
      <w:proofErr w:type="gramEnd"/>
    </w:p>
    <w:p w:rsidR="00CC6CAB" w:rsidRPr="00CC6CAB" w:rsidRDefault="00CC6CAB" w:rsidP="00CC6CAB">
      <w:pPr>
        <w:keepNext/>
        <w:shd w:val="clear" w:color="auto" w:fill="FFFFFF"/>
        <w:spacing w:before="120" w:after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6" w:name="i168401"/>
      <w:r w:rsidRPr="00CC6CAB">
        <w:rPr>
          <w:rFonts w:eastAsia="Times New Roman" w:cs="Times New Roman"/>
          <w:b/>
          <w:bCs/>
          <w:color w:val="000000"/>
          <w:szCs w:val="24"/>
          <w:lang w:eastAsia="ru-RU"/>
        </w:rPr>
        <w:t>КОНСТРУКТИВНЫЕ РЕШЕНИЯ</w:t>
      </w:r>
      <w:bookmarkEnd w:id="16"/>
    </w:p>
    <w:p w:rsidR="00CC6CAB" w:rsidRPr="00CC6CAB" w:rsidRDefault="00CC6CAB" w:rsidP="00CC6CAB">
      <w:pPr>
        <w:shd w:val="clear" w:color="auto" w:fill="FFFFFF"/>
        <w:spacing w:after="12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Общие требования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2.41. При проектировании зданий следует принимать, как правило, типовые конструкции и изделия полной заводской готовности, в том числе конструкции комплектной поставки и сборные здания (модули).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17" w:name="i172543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2.42. В помещениях категорий А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предусматривать наружные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легкосбрасываемые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ограждающие конструкции.</w:t>
      </w:r>
      <w:bookmarkEnd w:id="17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качестве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легкосбрасываемых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конструкций следует, как правило, использовать остекление окон и фонарей. При недостаточной площади остекления допускается в качестве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легкосбрасываемых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конструкций использовать конструкции покрытий из стальных, алюминиевых и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асбестоцементных листов и эффективного утеплителя. Площадь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легкосбрасываемых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конструкций следует определять расчетом. При отсутствии расчетных данных площадь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легкосбрасываемых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конструкций должна составлять не менее 0,05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на 1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объема помещения категории А и не менее 0,03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помещения категории Б.</w:t>
      </w:r>
    </w:p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pacing w:val="50"/>
          <w:sz w:val="20"/>
          <w:szCs w:val="20"/>
          <w:lang w:eastAsia="ru-RU"/>
        </w:rPr>
        <w:t>Примечания:</w:t>
      </w:r>
      <w:r w:rsidRPr="00CC6CAB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Оконное стекло относится к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легкосбрасываемым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конструкциям при толщине 3, 4 и 5 мм и площади не менее (соответственно) 0,8, 1 и 1,5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Армированное стекло к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легкосбрасываемым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конструкциям не относится.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Рулонный ковер на участках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легкосбрасываемых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конструкций покрытия следует разрезать на карты площадью не более 180 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 каждая.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 Расчетная нагрузка от массы </w:t>
      </w:r>
      <w:proofErr w:type="spellStart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легкосбрасываемых</w:t>
      </w:r>
      <w:proofErr w:type="spell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конструкций покрытия должна составлять не более 0,7 кПа (70 кгс/м</w:t>
      </w:r>
      <w:proofErr w:type="gramStart"/>
      <w:r w:rsidRPr="00CC6CA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0"/>
          <w:szCs w:val="20"/>
          <w:lang w:eastAsia="ru-RU"/>
        </w:rPr>
        <w:t>).</w:t>
      </w:r>
    </w:p>
    <w:p w:rsidR="00CC6CAB" w:rsidRPr="00CC6CAB" w:rsidRDefault="00CC6CAB" w:rsidP="00CC6CAB">
      <w:pPr>
        <w:shd w:val="clear" w:color="auto" w:fill="FFFFFF"/>
        <w:spacing w:before="120"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2.43. Галереи, площадки и лестницы для обслуживания грузоподъемных кранов следует проектировать в соответствии с Правилами устройства и безопасной эксплуатации грузоподъемных кранов, утвержденными Госгортехнадзором СССР.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2.44. Для ремонта и очистки остекления окон и фонарей в случаях, когда применение передвижных или переносных напольных инвентарных приспособлений (приставных лестниц,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катучих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площадок, телескопических подъемников) невозможно по условиям размещения технологического оборудования или общей высоты здания, допускается предусматривать стационарные устройства, обеспечивающие безопасное выполнение указанных работ. Применение этих устройств должно быть обосновано в технологической части проекта.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2.45. Участки перекрытий и технологических площадок, на которых установлены аппараты, установки и оборудование с наличием в них легковоспламеняющихся, горючих и токсичных жидкостей, должны иметь глухие бортики из негорючих материалов или поддоны. Высота бортиков и площадь между бортиками или поддонов устанавливаются в технологической части проекта.</w:t>
      </w:r>
    </w:p>
    <w:p w:rsidR="00CC6CAB" w:rsidRPr="00CC6CAB" w:rsidRDefault="00CC6CAB" w:rsidP="00CC6CAB">
      <w:pPr>
        <w:shd w:val="clear" w:color="auto" w:fill="FFFFFF"/>
        <w:spacing w:before="120" w:after="12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Покрытия зданий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2.46. Отапливаемые здания, как правило, следует проектировать с внутренними водостоками.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 проектировать отапливаемые здания высотой не более 10 м без внутренних водостоков при ширине покрытия (с уклоном в одну сторону) не более 36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2.47. Неотапливаемые здания следует проектировать без внутренних водостоков. Допускается многопролетные неотапливаемые здания проектировать с внутренними водостоками при наличии производственных тепловыделений, обеспечивающих положительную температуру внутри здания, или при условии обоснованного применения специального обогрева водосточных воронок, стоков и отводных труб.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2.48. По периметру наружных стен зданий следует предусматривать ограждение на кровле в соответствии со </w:t>
      </w:r>
      <w:hyperlink r:id="rId40" w:tooltip="Противопожарные нормы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*. В зданиях с внутренними водостоками в качестве ограждения допускается использовать парапет. При высоте парапета менее 0,6 м его следует дополнять решетчатым ограждением до высоты 0,6 м от поверхности кровли.</w:t>
      </w:r>
    </w:p>
    <w:p w:rsidR="00CC6CAB" w:rsidRPr="00CC6CAB" w:rsidRDefault="00CC6CAB" w:rsidP="00CC6CAB">
      <w:pPr>
        <w:shd w:val="clear" w:color="auto" w:fill="FFFFFF"/>
        <w:spacing w:before="120" w:after="12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Фонари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2.49*. Необходимость устройства фонарей и их тип (зенитные, П-образные, световые, светоаэрационные и пр.) устанавливается проектом в зависимости от особенностей технологического процесса, санитарно-гигиенических и экологических требований с учетом климатических условий района строительства.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2.50. Фонари должны быть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незадуваемыми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 Длина фонарей должна составлять не более 120 м. Расстояние между торцами фонарей и между торцом фонаря и наружной стеной должно быть не менее 6 м. Открывание створок фонарей должно быть механизированным (с включением механизмов открывания у выходов из помещений), дублированным ручным управлением.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Открывающиеся зенитные фонари, учитываемые в расчете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дымоудаления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должны быть равномерно размещены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площади покрытия.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2.51. Под остеклением зенитных фонарей, выполняемых из листового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селикатного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стекла, стеклопакетов, профильного стекла, а также вдоль внутренней стороны остекления прямоугольных светоаэрационных фонарей следует предусматривать устройство защитной металлической сетки.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2.52. Зенитные фонари со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светопропускающими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элементами из полимерных материалов (органического стекла, полиэфирных стеклопластиков и др.) допускается применять только в зданиях I и II степеней огнестойкости в помещениях категорий Г и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покрытиями из негорючих или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трудногорючих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материалов и рулонной кровлей, имеющей защитное покрытие из гравия. Общая площадь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светопропускающих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элементов таких фонарей не должна превышать 15 % общей площади покрытия, площадь проема одного фонаря - не более 10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а удельная масса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светопропускающих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элементов - не более 20 кг/м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Расстояние (в свету) между зенитными фонарями со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светопропускающими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элементами из полимерных материалов должно составлять при площади световых проемов до 5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- не менее 4 м, от 5 до 10 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не менее 5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совмещении фонарей в группы они принимаются за один фонарь, к которому относятся все вышеуказанные ограничения.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зенитными фонарями со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светопропускающими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заполнениями из полимерных материалов в продольном и поперечном направлениях покрытия здания через каждые 54 м должны устраиваться противопожарные разрывы шириной не менее 6 м. Расстояние по горизонтали от противопожарных стен до зенитных фонарей со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светопропускающими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заполнениями из полимерных материалов должно составлять не менее 5 м.</w:t>
      </w:r>
      <w:proofErr w:type="gramEnd"/>
    </w:p>
    <w:p w:rsidR="00CC6CAB" w:rsidRPr="00CC6CAB" w:rsidRDefault="00CC6CAB" w:rsidP="00CC6CAB">
      <w:pPr>
        <w:shd w:val="clear" w:color="auto" w:fill="FFFFFF"/>
        <w:spacing w:before="120" w:after="120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Стены и перегородки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2.53. Наружные и внутренние стены отапливаемых и неотапливаемых зданий следует проектировать, как правило, сборными из панелей и листовых материалов заводского изготовления. В наружных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стенах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следует предусматривать уплотнение швов.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Для зданий и помещений с избытками явного тепла более 50 Вт/м</w:t>
      </w:r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3 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следует применять, как правило, неутепленные ограждающие конструкции, предусматривая при необходимости обогрев зон постоянного пребывания работающих с помощью средств местного обогрева.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Перегородки следует проектировать, как правило, из панелей (щитов) заводского изготовления, а также в виде каркаса, заполненного плитными и листовыми материалами.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2.54*. Оконные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проемы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 предназначенные для вентиляции 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дымоудаления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следует заполнять остекленными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неоткрывающимися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переплетами или профильным стеклом; для оконных проемов с двойным и тройным остеклением следует предусматривать во внутренних переплетах открывающиеся створки для протирки стекол. Открывание переплетов, предназначенных для вентиляции 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дымоудаления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должно быть механизированным.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2.55.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окнах помещений с влажным или мокрым влажностным режимом должна быть обеспечена герметизация стыков между остеклением и переплетами, а также уплотнение притворов створных элементов для устранения проникания влажного воздуха из помещения в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межстекольное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пространство.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таких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зданиях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участки примыкания стен к окнам должны быть защищены от увлажнения путем устройства сливов,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пароизоляции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откосов.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2.56. Ворота следует принимать, как правило, типовые. При дистанционном и автоматическом открывании ворот должна быть обеспечена также возможность открывания их во всех случаях вручную. Размеры ворот в свету для надземного транспорта следует принимать с превышением габаритов транспортных средств (в загруженном состоянии) не менее чем на 0,2 м по высоте и 0,6 м по ширине.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Лестницы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2.57. Уклон маршей лестничных клеток следует принимать 1:2 при ширине проступи 0,3 м; для подвальных этажей и чердаков допускается принимать уклон маршей лестниц 1:1,5 при ширине проступи 0,26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2.58. Внутренние открытые лестницы (при отсутствии стен лестничных клеток) должны иметь уклон не более 1:1. Уклон открытых лестниц для прохода к одиночным рабочим местам допускается увеличивать до 2:1. Для осмотра оборудования при высоте подъема не более 10 м допускается проектировать вертикальные лестницы шириной 0,6 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18" w:name="i182841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2.59.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Наружные открытые стальные лестницы, предназначенные для эвакуации людей, должны иметь уклон не более 1:1, при наличии в числе работающих инвалидов с нарушением работы опорно-двигательного аппарата - не более 1:2 и ширину не менее 0,7 м. Эти лестницы должны быть с площадками на уровне эвакуационных выходов и иметь ограждения высотой 1,2 м. Указанные лестницы следует размещать, как правило, у глухих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(без окон) частей стен с пределом огнестойкости не менее 0,5 ч и пределом распространения огня, равным нулю, на расстоянии не менее 1 м от оконных проемов.</w:t>
      </w:r>
      <w:bookmarkEnd w:id="18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19" w:name="i194070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2.60. Для зданий высотой от планировочной отметки земли до карниза или верха парапета 10 м и более следует проектировать один выход на кровлю (на каждые полные и неполные 40 000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кровли), в том числе для зданий:</w:t>
      </w:r>
      <w:bookmarkEnd w:id="19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одноэтажных без наружных эвакуационных лестниц - по наружной открытой стальной лестнице, проектируемой согласно </w:t>
      </w:r>
      <w:hyperlink r:id="rId41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многоэтажных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- из лестничной клетки.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 случаях, когда нецелесообразно иметь в пределах высоты верхнего этажа лестничную клетку для выхода на кровлю,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согласно </w:t>
      </w:r>
      <w:hyperlink r:id="rId42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для выхода на кровлю из лестничной клетки через площадку этой лестницы.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Допускается не предусматривать выход на кровлю одноэтажных зданий с покрытием общей площадью не более 100 м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2.61. Для зданий высотой от планировочной отметки земли до верха карниза или парапета более 10 м, а также на перепадах высот и на кровле светоаэрационных фонарей следует предусматривать наружные стальные пожарные лестницы, проектируемые согласно </w:t>
      </w:r>
      <w:hyperlink r:id="rId43" w:tooltip="Противопожарные нормы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2.01.02-85</w:t>
        </w:r>
      </w:hyperlink>
      <w:r w:rsidRPr="00CC6CA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 определении числа и месторасположения наружных стальных пожарных лестниц следует учитывать наружные лестницы, предназначенные для эвакуации людей (см. </w:t>
      </w:r>
      <w:hyperlink r:id="rId44" w:anchor="i182841" w:tooltip="Пункт 2.59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2.59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), и наружные лестницы, предназначенные для выхода на кровлю (см. </w:t>
      </w:r>
      <w:hyperlink r:id="rId45" w:anchor="i194070" w:tooltip="Пункт 2.60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2.60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).</w:t>
      </w:r>
    </w:p>
    <w:p w:rsidR="00CC6CAB" w:rsidRPr="00CC6CAB" w:rsidRDefault="00CC6CAB" w:rsidP="00CC6CAB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20" w:name="i206753"/>
      <w:r w:rsidRPr="00CC6CAB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3. ДОПОЛНИТЕЛЬНЫЕ ТРЕБОВАНИЯ К ПРОЕКТИРОВАНИЮ ЗДАНИЙ В СЕВЕРНОЙ СТРОИТЕЛЬНО-КЛИМАТИЧЕСКОЙ ЗОНЕ</w:t>
      </w:r>
      <w:bookmarkEnd w:id="20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3.1. Здания следует проектировать, как правило, простой прямоугольной формы в плане, без перепада высот. В тех случаях, когда перепад высот необходим по технологическим или технико-экономическим соображениям, его следует, как правило, располагать с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наветренной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или вдоль направления господствующих ветров.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3.2. Помещения с мокрым влажностным режимом, как правило, не следует размещать у наружных стен зданий.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3.3. Фасады зданий следует проектировать без ниш, поясков и других элементов, задерживающих атмосферные осадки.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3.4. Размещение на покрытиях зданий оборудования и коммуникаций не допускается.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3.5. Эвакуационные выходы из зданий следует размещать, как правило, в стенах, расположенных параллельно направлению преобладающих ветров (по розе ветров зимнего периода).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3.6. На входах в отапливаемое здание следует предусматривать двойные тамбуры (с тремя дверями); размеры каждого тамбура принимать согласно </w:t>
      </w:r>
      <w:hyperlink r:id="rId46" w:anchor="i153976" w:tooltip="Пункт 2.40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п. 2.40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; внутренний тамбур должен быть отапливаемым.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3.7. Ворота и технологические проемы в наружных стенах отапливаемых зданий должны иметь воздушно-тепловые завесы; ворота зданий с влажным или мокрым влажностным режимом помещений должны иметь воздушно-тепловые завесы и тамбуры.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3.8*. При проектировании зданий на вечномерзлых грунтах следует принимать принцип I или II использования вечномерзлых грунтов в качестве основания в соответствии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со</w:t>
      </w:r>
      <w:hyperlink r:id="rId47" w:tooltip="Основания и фундаменты на вечномерзлых грунтах.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</w:t>
        </w:r>
        <w:proofErr w:type="spellEnd"/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 xml:space="preserve"> 2.02.04-88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3.9. Здания (с основанием по принципу I) следует проектировать, как правило, без подвальных или цокольных этажей, тоннелей и каналов.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соответствии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технологической частью проекта допускается проектировать отапливаемые подвальные или цокольные этажи, тоннели и 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каналы при условии сохранения расчетного теплового режима грунтов основания.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3.10. При проектировании зданий (с основанием по принципу II) следует: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а) предусматривать конструктивные решения, обеспечивающие медленное и равномерное оттаивание грунтов основания в процессе строительства и эксплуатации.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 случае предварительного оттаивания грунтов основания следует при необходимости предусматривать улучшение строительных свойств грунтов путем уплотнения, закрепления и др.;</w:t>
      </w:r>
      <w:proofErr w:type="gramEnd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б) назначать высоту помещений, проемов (ворот, дверей и др.), расстояния по высоте между оборудованием и конструкциями зданий и сооружений с запасами, обеспечивающими возможность нормальной эксплуатации здания в процессе осадок конструкций и сохранение требуемых нормами габаритов после окончания осадок;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в) проектировать фундаменты под оборудование и подъемно-транспортные устройства с учетом возможности приведения в проектное положение оборудования и подъемно-транспортных устрой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и неравномерных осадках в процессе эксплуатации;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г) предусматривать возможность приведения конструкций в проектное положение при осадках зданий.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3.11. При проектировании зданий с основанием по принципам I и II печи и агрегаты, выделяющие тепло, следует размещать на перекрытиях или отдельных фундаментах, не связанных с несущими конструкциями.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3.12. При проектировании зданий (с основанием по принципу II) в случаях, когда деформации оснований не превышают предельных величин, приведенных в </w:t>
      </w:r>
      <w:hyperlink r:id="rId48" w:tooltip="Основания зданий и сооружений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2.02.01-83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конструктивные схемы зданий допускается принимать без учета особенностей строительства в Северной строительно-климатической зоне.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3.13. При проектировании зданий (с основанием по принципу II) в случаях, когда деформации основания могут превышать предельные величины, приведенные в </w:t>
      </w:r>
      <w:hyperlink r:id="rId49" w:tooltip="Основания зданий и сооружений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2.02.01-83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конструктивные решения должны обеспечивать устойчивость, прочность и эксплуатационную пригодность зданий при неравномерных осадках основания. Для обеспечения указанных требований здания следует проектировать: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 жесткими </w:t>
      </w:r>
      <w:hyperlink r:id="rId50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конструктивными схемами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при которых конструктивные элементы не могут иметь взаимных перемещений;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с податливыми конструктивными схемами, при которых возможно взаимное перемещение шарнирно связанных между собой конструктивных элементов при обеспечении устойчивости и прочности этих элементов, а также эксплуатационной пригодности зданий.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Многоэтажные, а также одноэтажные здания с пролетом 12 м и менее следует проектировать, как правило, с жесткой конструктивной схемой, а одноэтажные здания с пролетами более 12 м (однопролетные и многопролетные) - с податливой конструктивной схемой.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3.14. При проектировании зданий с жесткой конструктивной схемой (с основанием по принципу II), как правило, следует: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не допускать изломов стен в плане;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предусматривать внутренние стены на всю ширину или длину здания;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располагать поперечные несущие стены или рамы на расстоянии не более 12 м одну от другой;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принимать оконные проемы </w:t>
      </w:r>
      <w:proofErr w:type="gram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одинаковыми</w:t>
      </w:r>
      <w:proofErr w:type="gram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размещая их равномерно;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не допускать местных ослаблений стен в результате устройства ниш,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штраб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, каналов;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предусматривать связь сборных элементов покрытия и перекрытия между собой;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применять армированные пояса, армирование простенков и углов каменных стен.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3.15. При проектировании зданий с податливой конструктивной схемой (с основанием по принципу II), как правило, следует: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применять конструктивные схемы зданий с колоннами, жестко заделанными в фундаменты и шарнирно соединенными с покрытиями;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применять конструкции с минимально допустимой жесткостью в вертикальной плоскости;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проектировать покрытия и перекрытия в виде жестких горизонтальных диафрагм, связанных с продольными и поперечными стенами и колоннами;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назначать площади </w:t>
      </w:r>
      <w:proofErr w:type="spellStart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опирания</w:t>
      </w:r>
      <w:proofErr w:type="spellEnd"/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крепления элементов конструкций из условия обеспечения прочности при неравномерной осадке здания.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3.16. Устойчивость и прочность здания, элементов и соединений с жесткой и податливой конструктивными схемами следует проверять расчетом на возможные наиболее неблагоприятные сочетания нагрузок и воздействий, включая неравномерные осадки основания.</w:t>
      </w:r>
    </w:p>
    <w:p w:rsidR="00CC6CAB" w:rsidRPr="00CC6CAB" w:rsidRDefault="00CC6CAB" w:rsidP="00CC6CAB">
      <w:pPr>
        <w:keepNext/>
        <w:shd w:val="clear" w:color="auto" w:fill="FFFFFF"/>
        <w:spacing w:before="120" w:after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21" w:name="i215374"/>
      <w:bookmarkStart w:id="22" w:name="i224403"/>
      <w:bookmarkEnd w:id="21"/>
      <w:r w:rsidRPr="00CC6CAB">
        <w:rPr>
          <w:rFonts w:eastAsia="Times New Roman" w:cs="Times New Roman"/>
          <w:color w:val="000000"/>
          <w:kern w:val="36"/>
          <w:szCs w:val="24"/>
          <w:lang w:eastAsia="ru-RU"/>
        </w:rPr>
        <w:t>ПРИЛОЖЕНИЕ </w:t>
      </w:r>
      <w:r w:rsidRPr="00CC6CAB">
        <w:rPr>
          <w:rFonts w:eastAsia="Times New Roman" w:cs="Times New Roman"/>
          <w:color w:val="000000"/>
          <w:kern w:val="36"/>
          <w:szCs w:val="24"/>
          <w:lang w:eastAsia="ru-RU"/>
        </w:rPr>
        <w:br/>
      </w:r>
      <w:bookmarkEnd w:id="22"/>
      <w:r w:rsidRPr="00CC6CAB">
        <w:rPr>
          <w:rFonts w:eastAsia="Times New Roman" w:cs="Times New Roman"/>
          <w:i/>
          <w:iCs/>
          <w:color w:val="000000"/>
          <w:kern w:val="36"/>
          <w:szCs w:val="24"/>
          <w:lang w:eastAsia="ru-RU"/>
        </w:rPr>
        <w:t>Обязательное</w:t>
      </w:r>
    </w:p>
    <w:p w:rsidR="00CC6CAB" w:rsidRPr="00CC6CAB" w:rsidRDefault="00CC6CAB" w:rsidP="00CC6CAB">
      <w:pPr>
        <w:keepNext/>
        <w:shd w:val="clear" w:color="auto" w:fill="FFFFFF"/>
        <w:spacing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r w:rsidRPr="00CC6CAB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ТЕРМИНЫ И ОПРЕДЕЛЕНИЯ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Антресоль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площадка внутри здания, на которой размещены помещения различного назначения (производственные, административно-бытовые или для инженерного оборудования).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Вставка (встройка)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в одноэтажном производственном здании - двух- или многоэтажная часть здания, размещенная в пределах одноэтажного здания по всей высоте и ширине (вставка) или части высоты и ширины (встройка), выделенная ограждающими конструкциями.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proofErr w:type="gramStart"/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Инженерное оборудование здания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система приборов, аппаратов, машин и коммуникаций, обеспечивающая подачу и отвод жидкостей, газов, электроэнергии (водопроводное, газопроводное, отопительное, электрическое, канализационное, вентиляционное оборудования).</w:t>
      </w:r>
      <w:proofErr w:type="gramEnd"/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Мобильное (инвентарное) здание или сооружение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см. </w:t>
      </w:r>
      <w:hyperlink r:id="rId51" w:tooltip="Здания и сооружения мобильные (инвентарные). Классификация. Термины и определения.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ГОСТ 25957-83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Площадка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одноярусное сооружение (без стен), размещенное в здании или вне его, опирающееся на самостоятельные опоры, конструкции здания или оборудования и предназначенное для установки, обслуживания или ремонта оборудования.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Этажность здания, этажи технический, цокольный, подвальный, надземный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см. </w:t>
      </w:r>
      <w:hyperlink r:id="rId52" w:tooltip="Жилые здания" w:history="1">
        <w:r w:rsidRPr="00CC6CAB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СНиП 2.08.01-89</w:t>
        </w:r>
      </w:hyperlink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C6CAB" w:rsidRPr="00CC6CAB" w:rsidRDefault="00CC6CAB" w:rsidP="00CC6CAB">
      <w:pPr>
        <w:shd w:val="clear" w:color="auto" w:fill="FFFFFF"/>
        <w:spacing w:after="0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CC6CA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Этажерка</w:t>
      </w:r>
      <w:r w:rsidRPr="00CC6CAB">
        <w:rPr>
          <w:rFonts w:eastAsia="Times New Roman" w:cs="Times New Roman"/>
          <w:color w:val="000000"/>
          <w:sz w:val="27"/>
          <w:szCs w:val="27"/>
          <w:lang w:eastAsia="ru-RU"/>
        </w:rPr>
        <w:t> - многоярусное каркасное сооружение (без стен), свободно стоящее в здании или вне его и предназначенное для размещения и обслуживания технологического и прочего оборудования.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AB"/>
    <w:rsid w:val="00096B46"/>
    <w:rsid w:val="00CC6CAB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C6C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CA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6CAB"/>
  </w:style>
  <w:style w:type="character" w:styleId="a4">
    <w:name w:val="Hyperlink"/>
    <w:basedOn w:val="a0"/>
    <w:uiPriority w:val="99"/>
    <w:semiHidden/>
    <w:unhideWhenUsed/>
    <w:rsid w:val="00CC6C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6C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C6C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CA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6CAB"/>
  </w:style>
  <w:style w:type="character" w:styleId="a4">
    <w:name w:val="Hyperlink"/>
    <w:basedOn w:val="a0"/>
    <w:uiPriority w:val="99"/>
    <w:semiHidden/>
    <w:unhideWhenUsed/>
    <w:rsid w:val="00CC6C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6C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hnorma.ru/normativbase/3/3770/index.htm" TargetMode="External"/><Relationship Id="rId18" Type="http://schemas.openxmlformats.org/officeDocument/2006/relationships/hyperlink" Target="http://tehnorma.ru/normativbase/1/1885/index.htm" TargetMode="External"/><Relationship Id="rId26" Type="http://schemas.openxmlformats.org/officeDocument/2006/relationships/hyperlink" Target="http://tehnorma.ru/normativbase/1/1911/index.htm" TargetMode="External"/><Relationship Id="rId39" Type="http://schemas.openxmlformats.org/officeDocument/2006/relationships/hyperlink" Target="http://tehnorma.ru/normativbase/1/1885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hnorma.ru/normativbase/1/1911/index.htm" TargetMode="External"/><Relationship Id="rId34" Type="http://schemas.openxmlformats.org/officeDocument/2006/relationships/hyperlink" Target="http://tehnorma.ru/normativbase/1/1911/index.htm" TargetMode="External"/><Relationship Id="rId42" Type="http://schemas.openxmlformats.org/officeDocument/2006/relationships/hyperlink" Target="http://tehnorma.ru/normativbase/1/1911/index.htm" TargetMode="External"/><Relationship Id="rId47" Type="http://schemas.openxmlformats.org/officeDocument/2006/relationships/hyperlink" Target="http://tehnorma.ru/normativbase/2/2017/index.htm" TargetMode="External"/><Relationship Id="rId50" Type="http://schemas.openxmlformats.org/officeDocument/2006/relationships/hyperlink" Target="http://www.mosexp.ru/proektnye_raboty.html" TargetMode="External"/><Relationship Id="rId7" Type="http://schemas.openxmlformats.org/officeDocument/2006/relationships/hyperlink" Target="http://tehnorma.ru/normativbase/1/1911/index.htm" TargetMode="External"/><Relationship Id="rId12" Type="http://schemas.openxmlformats.org/officeDocument/2006/relationships/hyperlink" Target="http://tehnorma.ru/normativbase/5/5991/index.htm" TargetMode="External"/><Relationship Id="rId17" Type="http://schemas.openxmlformats.org/officeDocument/2006/relationships/hyperlink" Target="http://tehnorma.ru/normativbase/1/1911/index.htm" TargetMode="External"/><Relationship Id="rId25" Type="http://schemas.openxmlformats.org/officeDocument/2006/relationships/hyperlink" Target="http://tehnorma.ru/normativbase/1/1911/index.htm" TargetMode="External"/><Relationship Id="rId33" Type="http://schemas.openxmlformats.org/officeDocument/2006/relationships/hyperlink" Target="http://tehnorma.ru/normativbase/1/1911/index.htm" TargetMode="External"/><Relationship Id="rId38" Type="http://schemas.openxmlformats.org/officeDocument/2006/relationships/hyperlink" Target="http://tehnorma.ru/normativbase/1/1911/index.htm" TargetMode="External"/><Relationship Id="rId46" Type="http://schemas.openxmlformats.org/officeDocument/2006/relationships/hyperlink" Target="http://tehnorma.ru/normativbase/1/1911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hnorma.ru/normativbase/1/1885/index.htm" TargetMode="External"/><Relationship Id="rId20" Type="http://schemas.openxmlformats.org/officeDocument/2006/relationships/hyperlink" Target="http://tehnorma.ru/normativbase/2/2004/index.htm" TargetMode="External"/><Relationship Id="rId29" Type="http://schemas.openxmlformats.org/officeDocument/2006/relationships/hyperlink" Target="http://tehnorma.ru/normativbase/1/1911/index.htm" TargetMode="External"/><Relationship Id="rId41" Type="http://schemas.openxmlformats.org/officeDocument/2006/relationships/hyperlink" Target="http://tehnorma.ru/normativbase/1/1911/index.ht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hnorma.ru/normativbase/1/1911/index.htm" TargetMode="External"/><Relationship Id="rId11" Type="http://schemas.openxmlformats.org/officeDocument/2006/relationships/hyperlink" Target="http://tehnorma.ru/normativbase/4/4699/index.htm" TargetMode="External"/><Relationship Id="rId24" Type="http://schemas.openxmlformats.org/officeDocument/2006/relationships/hyperlink" Target="http://tehnorma.ru/normativbase/1/1911/index.htm" TargetMode="External"/><Relationship Id="rId32" Type="http://schemas.openxmlformats.org/officeDocument/2006/relationships/hyperlink" Target="http://tehnorma.ru/normativbase/1/1911/index.htm" TargetMode="External"/><Relationship Id="rId37" Type="http://schemas.openxmlformats.org/officeDocument/2006/relationships/hyperlink" Target="http://tehnorma.ru/normativbase/1/1911/index.htm" TargetMode="External"/><Relationship Id="rId40" Type="http://schemas.openxmlformats.org/officeDocument/2006/relationships/hyperlink" Target="http://tehnorma.ru/normativbase/1/1885/index.htm" TargetMode="External"/><Relationship Id="rId45" Type="http://schemas.openxmlformats.org/officeDocument/2006/relationships/hyperlink" Target="http://tehnorma.ru/normativbase/1/1911/index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tehnorma.ru/normativbase/1/1911/index.htm" TargetMode="External"/><Relationship Id="rId15" Type="http://schemas.openxmlformats.org/officeDocument/2006/relationships/hyperlink" Target="http://tehnorma.ru/normativbase/1/1911/index.htm" TargetMode="External"/><Relationship Id="rId23" Type="http://schemas.openxmlformats.org/officeDocument/2006/relationships/hyperlink" Target="http://tehnorma.ru/normativbase/1/1918/index.htm" TargetMode="External"/><Relationship Id="rId28" Type="http://schemas.openxmlformats.org/officeDocument/2006/relationships/hyperlink" Target="http://tehnorma.ru/normativbase/1/1911/index.htm" TargetMode="External"/><Relationship Id="rId36" Type="http://schemas.openxmlformats.org/officeDocument/2006/relationships/hyperlink" Target="http://tehnorma.ru/normativbase/1/1885/index.htm" TargetMode="External"/><Relationship Id="rId49" Type="http://schemas.openxmlformats.org/officeDocument/2006/relationships/hyperlink" Target="http://tehnorma.ru/normativbase/2/2015/index.htm" TargetMode="External"/><Relationship Id="rId10" Type="http://schemas.openxmlformats.org/officeDocument/2006/relationships/hyperlink" Target="http://tehnorma.ru/normativbase/4/4104/index.htm" TargetMode="External"/><Relationship Id="rId19" Type="http://schemas.openxmlformats.org/officeDocument/2006/relationships/hyperlink" Target="http://tehnorma.ru/normativbase/2/2004/index.htm" TargetMode="External"/><Relationship Id="rId31" Type="http://schemas.openxmlformats.org/officeDocument/2006/relationships/hyperlink" Target="http://tehnorma.ru/normativbase/1/1911/index.htm" TargetMode="External"/><Relationship Id="rId44" Type="http://schemas.openxmlformats.org/officeDocument/2006/relationships/hyperlink" Target="http://tehnorma.ru/normativbase/1/1911/index.htm" TargetMode="External"/><Relationship Id="rId52" Type="http://schemas.openxmlformats.org/officeDocument/2006/relationships/hyperlink" Target="http://tehnorma.ru/normativbase/1/1909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rma.ru/normativbase/1/1911/index.htm" TargetMode="External"/><Relationship Id="rId14" Type="http://schemas.openxmlformats.org/officeDocument/2006/relationships/hyperlink" Target="http://tehnorma.ru/normativbase/1/1911/index.htm" TargetMode="External"/><Relationship Id="rId22" Type="http://schemas.openxmlformats.org/officeDocument/2006/relationships/hyperlink" Target="http://tehnorma.ru/normativbase/1/1885/index.htm" TargetMode="External"/><Relationship Id="rId27" Type="http://schemas.openxmlformats.org/officeDocument/2006/relationships/hyperlink" Target="http://tehnorma.ru/normativbase/1/1911/index.htm" TargetMode="External"/><Relationship Id="rId30" Type="http://schemas.openxmlformats.org/officeDocument/2006/relationships/hyperlink" Target="http://tehnorma.ru/normativbase/1/1911/index.htm" TargetMode="External"/><Relationship Id="rId35" Type="http://schemas.openxmlformats.org/officeDocument/2006/relationships/hyperlink" Target="http://tehnorma.ru/normativbase/1/1911/index.htm" TargetMode="External"/><Relationship Id="rId43" Type="http://schemas.openxmlformats.org/officeDocument/2006/relationships/hyperlink" Target="http://tehnorma.ru/normativbase/1/1885/index.htm" TargetMode="External"/><Relationship Id="rId48" Type="http://schemas.openxmlformats.org/officeDocument/2006/relationships/hyperlink" Target="http://tehnorma.ru/normativbase/2/2015/index.htm" TargetMode="External"/><Relationship Id="rId8" Type="http://schemas.openxmlformats.org/officeDocument/2006/relationships/hyperlink" Target="http://www.mosexp.ru/proektnye_raboty.html" TargetMode="External"/><Relationship Id="rId51" Type="http://schemas.openxmlformats.org/officeDocument/2006/relationships/hyperlink" Target="http://tehnorma.ru/normativbase/3/377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9088</Words>
  <Characters>51802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2014-04-07T13:07:00Z</dcterms:created>
  <dcterms:modified xsi:type="dcterms:W3CDTF">2014-04-07T13:09:00Z</dcterms:modified>
</cp:coreProperties>
</file>