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AA" w:rsidRDefault="00CC1F85">
      <w:pPr>
        <w:pStyle w:val="20"/>
        <w:shd w:val="clear" w:color="auto" w:fill="auto"/>
        <w:spacing w:after="8" w:line="220" w:lineRule="exact"/>
        <w:ind w:left="4960"/>
        <w:jc w:val="left"/>
      </w:pPr>
      <w:bookmarkStart w:id="0" w:name="_GoBack"/>
      <w:bookmarkEnd w:id="0"/>
      <w:r>
        <w:t>LIST</w:t>
      </w:r>
    </w:p>
    <w:p w:rsidR="003839AA" w:rsidRDefault="00CC1F85">
      <w:pPr>
        <w:pStyle w:val="20"/>
        <w:shd w:val="clear" w:color="auto" w:fill="auto"/>
        <w:spacing w:after="496" w:line="220" w:lineRule="exact"/>
        <w:ind w:left="1440"/>
        <w:jc w:val="left"/>
      </w:pPr>
      <w:proofErr w:type="gramStart"/>
      <w:r>
        <w:t>of</w:t>
      </w:r>
      <w:proofErr w:type="gramEnd"/>
      <w:r>
        <w:t xml:space="preserve"> operational documents according to GOST </w:t>
      </w:r>
      <w:r w:rsidRPr="00796E3A">
        <w:t xml:space="preserve">2.601-2006 </w:t>
      </w:r>
      <w:r>
        <w:t>for the equipment.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333"/>
        <w:gridCol w:w="1258"/>
        <w:gridCol w:w="6312"/>
      </w:tblGrid>
      <w:tr w:rsidR="003839A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rPr>
                <w:lang w:val="ru"/>
              </w:rPr>
              <w:t xml:space="preserve">№ </w:t>
            </w:r>
            <w:r>
              <w:t>n/n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Name of document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Document Code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580"/>
              <w:jc w:val="left"/>
            </w:pPr>
            <w:proofErr w:type="spellStart"/>
            <w:r>
              <w:t>Discription</w:t>
            </w:r>
            <w:proofErr w:type="spellEnd"/>
          </w:p>
        </w:tc>
      </w:tr>
      <w:tr w:rsidR="003839AA">
        <w:tblPrEx>
          <w:tblCellMar>
            <w:top w:w="0" w:type="dxa"/>
            <w:bottom w:w="0" w:type="dxa"/>
          </w:tblCellMar>
        </w:tblPrEx>
        <w:trPr>
          <w:trHeight w:val="27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Certificate (of unit of equipment, assembly)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lang w:val="ru"/>
              </w:rPr>
              <w:t xml:space="preserve">ПС </w:t>
            </w:r>
            <w:r>
              <w:t>(PS)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Equipment information, consisting of: name, type (model, trade mark), assignment, construction (level of case protection </w:t>
            </w:r>
            <w:r w:rsidRPr="00796E3A">
              <w:t xml:space="preserve">- </w:t>
            </w:r>
            <w:r>
              <w:t>IP code, identification of explosion protection of electro- technical equipment), rating value and specification of equipment, comple</w:t>
            </w:r>
            <w:r>
              <w:t>teness of set (number of components and units), service limit (endurance), manufacturer's guarantee (guaranteed service life), data about certification and recycling, data about contained precious materials, non-ferrous metals and alloys (name, mass, locat</w:t>
            </w:r>
            <w:r>
              <w:t>ion inside the equipment and parts).</w:t>
            </w:r>
          </w:p>
        </w:tc>
      </w:tr>
      <w:tr w:rsidR="003839AA">
        <w:tblPrEx>
          <w:tblCellMar>
            <w:top w:w="0" w:type="dxa"/>
            <w:bottom w:w="0" w:type="dxa"/>
          </w:tblCellMar>
        </w:tblPrEx>
        <w:trPr>
          <w:trHeight w:val="91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ru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Operation Manual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lang w:val="ru"/>
              </w:rPr>
              <w:t xml:space="preserve">РЭ </w:t>
            </w:r>
            <w:r>
              <w:t>(RE)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Construction data, assignment, operating principle, specification of the equipment and its parts, including following diagrams and drawings: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>single-line diagram of electrical supply;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left"/>
            </w:pPr>
            <w:r>
              <w:t>circuit schematic diagrams;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74" w:lineRule="exact"/>
              <w:ind w:left="120"/>
              <w:jc w:val="left"/>
            </w:pPr>
            <w:r>
              <w:t>wiring diagrams (electrical connections of apparatuses inside a cubicle);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left"/>
            </w:pPr>
            <w:r>
              <w:t>external electrical connection diagrams (electrical connection of external wiring tracks and terminal boxes inside a cubicle);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left"/>
            </w:pPr>
            <w:r>
              <w:t>assembled representation of equipment, including component layout inside a cubicle;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>specification;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proofErr w:type="gramStart"/>
            <w:r>
              <w:t>and</w:t>
            </w:r>
            <w:proofErr w:type="gramEnd"/>
            <w:r>
              <w:t xml:space="preserve"> so on. Instruction for: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>storage and transportation;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t>proper and safety operation of equipment (operational data, points and methods of control, typical fa</w:t>
            </w:r>
            <w:r>
              <w:t>ilures and methods of its elimination, industrial safety measures, labor protection);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>servicing (periodicity, procedural nomenclature, spare parts and materials allowance list);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 xml:space="preserve">current maintenance and overhaul (periodicity, procedural nomenclature, spare </w:t>
            </w:r>
            <w:r>
              <w:t>parts and materials allowance list);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/>
              <w:jc w:val="left"/>
            </w:pPr>
            <w:r>
              <w:t>repair technique (order and sequence of disassembly and assembly of equipment, use of tools and devices) with drawings;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>estimation of technical condition during the operation, for determination of need of sending to service center and preventive inspection after repair - types of tests, estimation, run-up, specified values, procedure and periodicity of performance);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/>
              <w:jc w:val="left"/>
            </w:pPr>
            <w:r>
              <w:t>list of</w:t>
            </w:r>
            <w:r>
              <w:t xml:space="preserve"> spare parts, tools and accessories;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/>
              <w:jc w:val="left"/>
            </w:pPr>
            <w:proofErr w:type="gramStart"/>
            <w:r>
              <w:t>recycling</w:t>
            </w:r>
            <w:proofErr w:type="gramEnd"/>
            <w:r>
              <w:t xml:space="preserve"> of the equipment and its components.</w:t>
            </w:r>
          </w:p>
        </w:tc>
      </w:tr>
      <w:tr w:rsidR="003839AA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ru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Assembling, start-up, adjustment and running manual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lang w:val="ru"/>
              </w:rPr>
              <w:t xml:space="preserve">ИМ </w:t>
            </w:r>
            <w:r>
              <w:t>(IM)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Data for: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</w:pPr>
            <w:r w:rsidRPr="00796E3A">
              <w:t xml:space="preserve">- </w:t>
            </w:r>
            <w:r>
              <w:t>assembling (order and sequence of assembling, assembling diagrams and drawings, equipment layout inside the building, construction task for equipment assembling and appliance);</w:t>
            </w:r>
          </w:p>
        </w:tc>
      </w:tr>
    </w:tbl>
    <w:p w:rsidR="003839AA" w:rsidRDefault="003839A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333"/>
        <w:gridCol w:w="1258"/>
        <w:gridCol w:w="6312"/>
      </w:tblGrid>
      <w:tr w:rsidR="003839AA">
        <w:tblPrEx>
          <w:tblCellMar>
            <w:top w:w="0" w:type="dxa"/>
            <w:bottom w:w="0" w:type="dxa"/>
          </w:tblCellMar>
        </w:tblPrEx>
        <w:trPr>
          <w:trHeight w:val="33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3839A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3839A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3839A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/>
              <w:jc w:val="left"/>
            </w:pPr>
            <w:r>
              <w:t>integration of the equipment to process control system (protocol, connection, signals) and automatic control system (protection, alarm, control);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t xml:space="preserve">commissioning (parameters and specification of tests, measurement, run-up, software for checkout, description </w:t>
            </w:r>
            <w:r>
              <w:t xml:space="preserve">of adjustment of electro-technical equipment </w:t>
            </w:r>
            <w:r w:rsidRPr="00796E3A">
              <w:t xml:space="preserve">- </w:t>
            </w:r>
            <w:r>
              <w:t>controllers, control units, interface);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proofErr w:type="spellStart"/>
            <w:r>
              <w:t>strat</w:t>
            </w:r>
            <w:proofErr w:type="spellEnd"/>
            <w:r>
              <w:t>-up (order and sequence), adjustment (parameters and specification);</w:t>
            </w:r>
          </w:p>
          <w:p w:rsidR="003839AA" w:rsidRDefault="00CC1F8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left"/>
            </w:pPr>
            <w:proofErr w:type="gramStart"/>
            <w:r>
              <w:t>run-in</w:t>
            </w:r>
            <w:proofErr w:type="gramEnd"/>
            <w:r>
              <w:t xml:space="preserve"> test (parameters and time) and commissioning of the equipment and its components at the </w:t>
            </w:r>
            <w:r>
              <w:t>place of its implementation.</w:t>
            </w:r>
          </w:p>
        </w:tc>
      </w:tr>
      <w:tr w:rsidR="003839AA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val="ru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Parts and assembly units Catalogue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380"/>
              <w:jc w:val="right"/>
            </w:pPr>
            <w:r>
              <w:rPr>
                <w:lang w:val="ru"/>
              </w:rPr>
              <w:t xml:space="preserve">КДС </w:t>
            </w:r>
            <w:r>
              <w:t>(KDS)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List of parts and subunits of item with drawings and data about their number, layout inside the equipment, compatibility, design features, materials and so on.</w:t>
            </w:r>
          </w:p>
        </w:tc>
      </w:tr>
      <w:tr w:rsidR="003839AA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lang w:val="ru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Register of operational documents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380"/>
              <w:jc w:val="right"/>
            </w:pPr>
            <w:r>
              <w:rPr>
                <w:lang w:val="ru"/>
              </w:rPr>
              <w:t xml:space="preserve">ВЭ </w:t>
            </w:r>
            <w:r>
              <w:t>(VE)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List of operation papers</w:t>
            </w:r>
          </w:p>
        </w:tc>
      </w:tr>
      <w:tr w:rsidR="003839AA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lang w:val="ru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Turnover documentation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right="380"/>
              <w:jc w:val="right"/>
            </w:pPr>
            <w:r>
              <w:rPr>
                <w:lang w:val="ru"/>
              </w:rPr>
              <w:t xml:space="preserve">ПСД </w:t>
            </w:r>
            <w:r>
              <w:t>(PSD)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AA" w:rsidRDefault="00CC1F8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Results of the facility test and measurements at the works of manufacturer with description of the following: types of tests and measurements, actual results, specified parameters, methods of test performance procedure; equipment acceptance certificate at </w:t>
            </w:r>
            <w:r>
              <w:t>the works of manufacturer.</w:t>
            </w:r>
          </w:p>
        </w:tc>
      </w:tr>
    </w:tbl>
    <w:p w:rsidR="003839AA" w:rsidRDefault="003839AA">
      <w:pPr>
        <w:rPr>
          <w:sz w:val="2"/>
          <w:szCs w:val="2"/>
        </w:rPr>
      </w:pPr>
    </w:p>
    <w:p w:rsidR="003839AA" w:rsidRDefault="00CC1F85">
      <w:pPr>
        <w:pStyle w:val="40"/>
        <w:shd w:val="clear" w:color="auto" w:fill="auto"/>
        <w:spacing w:line="274" w:lineRule="exact"/>
        <w:ind w:left="520" w:firstLine="580"/>
      </w:pPr>
      <w:r>
        <w:t>Notes:</w:t>
      </w:r>
    </w:p>
    <w:p w:rsidR="003839AA" w:rsidRDefault="00CC1F85">
      <w:pPr>
        <w:pStyle w:val="40"/>
        <w:numPr>
          <w:ilvl w:val="0"/>
          <w:numId w:val="3"/>
        </w:numPr>
        <w:shd w:val="clear" w:color="auto" w:fill="auto"/>
        <w:tabs>
          <w:tab w:val="left" w:pos="1316"/>
        </w:tabs>
        <w:spacing w:line="274" w:lineRule="exact"/>
        <w:ind w:left="520" w:firstLine="580"/>
      </w:pPr>
      <w:r>
        <w:t>Documentation should be provided for each type of the equipment:</w:t>
      </w:r>
    </w:p>
    <w:p w:rsidR="003839AA" w:rsidRDefault="00CC1F85">
      <w:pPr>
        <w:pStyle w:val="40"/>
        <w:numPr>
          <w:ilvl w:val="0"/>
          <w:numId w:val="4"/>
        </w:numPr>
        <w:shd w:val="clear" w:color="auto" w:fill="auto"/>
        <w:tabs>
          <w:tab w:val="left" w:pos="1234"/>
        </w:tabs>
        <w:spacing w:line="274" w:lineRule="exact"/>
        <w:ind w:left="520" w:firstLine="580"/>
      </w:pPr>
      <w:r>
        <w:t>special transformer (made by Swiss company- «</w:t>
      </w:r>
      <w:proofErr w:type="spellStart"/>
      <w:r>
        <w:t>Trasfor</w:t>
      </w:r>
      <w:proofErr w:type="spellEnd"/>
      <w:r>
        <w:t>»);</w:t>
      </w:r>
    </w:p>
    <w:p w:rsidR="003839AA" w:rsidRDefault="00CC1F85">
      <w:pPr>
        <w:pStyle w:val="40"/>
        <w:numPr>
          <w:ilvl w:val="0"/>
          <w:numId w:val="4"/>
        </w:numPr>
        <w:shd w:val="clear" w:color="auto" w:fill="auto"/>
        <w:tabs>
          <w:tab w:val="left" w:pos="1244"/>
        </w:tabs>
        <w:spacing w:line="274" w:lineRule="exact"/>
        <w:ind w:left="520" w:firstLine="580"/>
      </w:pPr>
      <w:proofErr w:type="spellStart"/>
      <w:r>
        <w:t>thyristor</w:t>
      </w:r>
      <w:proofErr w:type="spellEnd"/>
      <w:r>
        <w:t xml:space="preserve"> rectifiers;</w:t>
      </w:r>
    </w:p>
    <w:p w:rsidR="003839AA" w:rsidRDefault="00CC1F85">
      <w:pPr>
        <w:pStyle w:val="40"/>
        <w:numPr>
          <w:ilvl w:val="0"/>
          <w:numId w:val="4"/>
        </w:numPr>
        <w:shd w:val="clear" w:color="auto" w:fill="auto"/>
        <w:tabs>
          <w:tab w:val="left" w:pos="1239"/>
        </w:tabs>
        <w:spacing w:line="274" w:lineRule="exact"/>
        <w:ind w:left="520" w:firstLine="580"/>
      </w:pPr>
      <w:r>
        <w:t>control unit ;</w:t>
      </w:r>
    </w:p>
    <w:p w:rsidR="003839AA" w:rsidRDefault="00CC1F85">
      <w:pPr>
        <w:pStyle w:val="40"/>
        <w:numPr>
          <w:ilvl w:val="0"/>
          <w:numId w:val="4"/>
        </w:numPr>
        <w:shd w:val="clear" w:color="auto" w:fill="auto"/>
        <w:tabs>
          <w:tab w:val="left" w:pos="1239"/>
        </w:tabs>
        <w:spacing w:line="274" w:lineRule="exact"/>
        <w:ind w:left="520" w:firstLine="580"/>
      </w:pPr>
      <w:proofErr w:type="spellStart"/>
      <w:r>
        <w:t>earthing</w:t>
      </w:r>
      <w:proofErr w:type="spellEnd"/>
      <w:r>
        <w:t xml:space="preserve"> switches unit ;</w:t>
      </w:r>
    </w:p>
    <w:p w:rsidR="003839AA" w:rsidRDefault="00CC1F85">
      <w:pPr>
        <w:pStyle w:val="40"/>
        <w:numPr>
          <w:ilvl w:val="0"/>
          <w:numId w:val="4"/>
        </w:numPr>
        <w:shd w:val="clear" w:color="auto" w:fill="auto"/>
        <w:tabs>
          <w:tab w:val="left" w:pos="1234"/>
        </w:tabs>
        <w:spacing w:line="274" w:lineRule="exact"/>
        <w:ind w:left="520" w:firstLine="580"/>
      </w:pPr>
      <w:r>
        <w:t>start-up choppers (DC regulation unit);</w:t>
      </w:r>
    </w:p>
    <w:p w:rsidR="003839AA" w:rsidRDefault="00CC1F85">
      <w:pPr>
        <w:pStyle w:val="40"/>
        <w:numPr>
          <w:ilvl w:val="0"/>
          <w:numId w:val="4"/>
        </w:numPr>
        <w:shd w:val="clear" w:color="auto" w:fill="auto"/>
        <w:tabs>
          <w:tab w:val="left" w:pos="1234"/>
        </w:tabs>
        <w:spacing w:line="274" w:lineRule="exact"/>
        <w:ind w:left="520" w:firstLine="580"/>
      </w:pPr>
      <w:proofErr w:type="gramStart"/>
      <w:r>
        <w:t>main</w:t>
      </w:r>
      <w:proofErr w:type="gramEnd"/>
      <w:r>
        <w:t xml:space="preserve"> run choppers (DC regulation units).</w:t>
      </w:r>
    </w:p>
    <w:p w:rsidR="003839AA" w:rsidRDefault="00CC1F85">
      <w:pPr>
        <w:pStyle w:val="40"/>
        <w:shd w:val="clear" w:color="auto" w:fill="auto"/>
        <w:spacing w:line="274" w:lineRule="exact"/>
        <w:ind w:left="520" w:right="1240" w:firstLine="580"/>
      </w:pPr>
      <w:r>
        <w:t>Concerning the components: controllers, control units, etc., documentation should be provided depending on their application.</w:t>
      </w:r>
    </w:p>
    <w:p w:rsidR="003839AA" w:rsidRDefault="00CC1F85">
      <w:pPr>
        <w:pStyle w:val="40"/>
        <w:numPr>
          <w:ilvl w:val="1"/>
          <w:numId w:val="4"/>
        </w:numPr>
        <w:shd w:val="clear" w:color="auto" w:fill="auto"/>
        <w:tabs>
          <w:tab w:val="left" w:pos="1326"/>
        </w:tabs>
        <w:spacing w:line="274" w:lineRule="exact"/>
        <w:ind w:left="520" w:firstLine="580"/>
      </w:pPr>
      <w:r>
        <w:t>Documentation shall be assured with the stamp of the manufacturer</w:t>
      </w:r>
      <w:proofErr w:type="gramStart"/>
      <w:r>
        <w:t>..</w:t>
      </w:r>
      <w:proofErr w:type="gramEnd"/>
    </w:p>
    <w:sectPr w:rsidR="003839AA">
      <w:type w:val="continuous"/>
      <w:pgSz w:w="11905" w:h="16837"/>
      <w:pgMar w:top="716" w:right="226" w:bottom="884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85" w:rsidRDefault="00CC1F85">
      <w:r>
        <w:separator/>
      </w:r>
    </w:p>
  </w:endnote>
  <w:endnote w:type="continuationSeparator" w:id="0">
    <w:p w:rsidR="00CC1F85" w:rsidRDefault="00CC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???Ўю¬№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85" w:rsidRDefault="00CC1F85"/>
  </w:footnote>
  <w:footnote w:type="continuationSeparator" w:id="0">
    <w:p w:rsidR="00CC1F85" w:rsidRDefault="00CC1F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C6E"/>
    <w:multiLevelType w:val="multilevel"/>
    <w:tmpl w:val="51883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F4496"/>
    <w:multiLevelType w:val="multilevel"/>
    <w:tmpl w:val="BCC69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F860E5"/>
    <w:multiLevelType w:val="multilevel"/>
    <w:tmpl w:val="FEFA5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D60998"/>
    <w:multiLevelType w:val="multilevel"/>
    <w:tmpl w:val="7BD64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39AA"/>
    <w:rsid w:val="003839AA"/>
    <w:rsid w:val="00796E3A"/>
    <w:rsid w:val="009A72CA"/>
    <w:rsid w:val="00C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Sam</dc:creator>
  <cp:keywords/>
  <cp:lastModifiedBy>Владимир</cp:lastModifiedBy>
  <cp:revision>3</cp:revision>
  <dcterms:created xsi:type="dcterms:W3CDTF">2014-02-17T13:21:00Z</dcterms:created>
  <dcterms:modified xsi:type="dcterms:W3CDTF">2014-02-17T13:21:00Z</dcterms:modified>
</cp:coreProperties>
</file>