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5CB" w:rsidRPr="001127F7" w:rsidRDefault="00DD7CD7" w:rsidP="000865CB">
      <w:pPr>
        <w:jc w:val="center"/>
        <w:rPr>
          <w:rFonts w:ascii="Arial Narrow" w:hAnsi="Arial Narrow"/>
          <w:b/>
          <w:bCs/>
          <w:color w:val="000080"/>
          <w:sz w:val="22"/>
          <w:szCs w:val="22"/>
        </w:rPr>
      </w:pPr>
      <w:r w:rsidRPr="001127F7">
        <w:rPr>
          <w:rFonts w:ascii="Arial Narrow" w:hAnsi="Arial Narrow"/>
          <w:b/>
          <w:bCs/>
          <w:color w:val="000080"/>
          <w:sz w:val="22"/>
          <w:szCs w:val="22"/>
        </w:rPr>
        <w:t>ТЕХНИЧЕСКОЕ ЗАДАНИЕ</w:t>
      </w:r>
      <w:bookmarkStart w:id="0" w:name="_GoBack"/>
      <w:bookmarkEnd w:id="0"/>
    </w:p>
    <w:p w:rsidR="00803E3C" w:rsidRPr="00DD7CD7" w:rsidRDefault="00803E3C" w:rsidP="000865CB">
      <w:pPr>
        <w:jc w:val="center"/>
      </w:pPr>
    </w:p>
    <w:p w:rsidR="000865CB" w:rsidRPr="00DD7CD7" w:rsidRDefault="000865CB" w:rsidP="000865CB">
      <w:pPr>
        <w:jc w:val="center"/>
        <w:rPr>
          <w:b/>
          <w:sz w:val="24"/>
        </w:rPr>
      </w:pPr>
    </w:p>
    <w:p w:rsidR="000865CB" w:rsidRPr="00DD7CD7" w:rsidRDefault="000865CB" w:rsidP="000865CB">
      <w:pPr>
        <w:spacing w:before="120" w:after="120" w:line="20" w:lineRule="atLeast"/>
        <w:ind w:left="900" w:hanging="900"/>
        <w:rPr>
          <w:rFonts w:ascii="Arial Narrow" w:hAnsi="Arial Narrow"/>
          <w:b/>
          <w:bCs/>
          <w:color w:val="000080"/>
          <w:sz w:val="22"/>
          <w:szCs w:val="22"/>
        </w:rPr>
      </w:pPr>
      <w:r w:rsidRPr="00DD7CD7">
        <w:rPr>
          <w:rFonts w:ascii="Arial Narrow" w:hAnsi="Arial Narrow"/>
          <w:b/>
          <w:bCs/>
          <w:color w:val="000080"/>
          <w:sz w:val="22"/>
          <w:szCs w:val="22"/>
        </w:rPr>
        <w:t xml:space="preserve">ЭТАП 1. </w:t>
      </w:r>
      <w:r w:rsidRPr="00DD7CD7">
        <w:rPr>
          <w:rFonts w:ascii="Arial Narrow" w:hAnsi="Arial Narrow"/>
          <w:b/>
          <w:bCs/>
          <w:caps/>
          <w:color w:val="000080"/>
          <w:sz w:val="22"/>
          <w:szCs w:val="22"/>
        </w:rPr>
        <w:t xml:space="preserve">Проведение комплексного исследования рынка базальтового волокна в Российской Федерации, а также рынка теплоизоляционных материалов  на основе базальтового волокна. </w:t>
      </w:r>
    </w:p>
    <w:p w:rsidR="000865CB" w:rsidRPr="00DD7CD7" w:rsidRDefault="000865CB" w:rsidP="000865CB">
      <w:pPr>
        <w:pStyle w:val="Head"/>
        <w:keepNext w:val="0"/>
        <w:keepLines w:val="0"/>
        <w:spacing w:before="0"/>
        <w:jc w:val="both"/>
        <w:rPr>
          <w:rFonts w:ascii="Times New Roman" w:hAnsi="Times New Roman"/>
          <w:b w:val="0"/>
          <w:bCs/>
          <w:sz w:val="22"/>
          <w:szCs w:val="22"/>
        </w:rPr>
      </w:pPr>
    </w:p>
    <w:p w:rsidR="000865CB" w:rsidRPr="00DD7CD7" w:rsidRDefault="000865CB" w:rsidP="000865CB">
      <w:pPr>
        <w:widowControl w:val="0"/>
        <w:tabs>
          <w:tab w:val="left" w:pos="540"/>
        </w:tabs>
        <w:spacing w:before="240" w:line="20" w:lineRule="atLeast"/>
        <w:ind w:left="540" w:hanging="359"/>
        <w:rPr>
          <w:rFonts w:ascii="Arial Narrow" w:hAnsi="Arial Narrow"/>
          <w:b/>
          <w:color w:val="000080"/>
          <w:sz w:val="22"/>
          <w:szCs w:val="22"/>
        </w:rPr>
      </w:pPr>
      <w:r w:rsidRPr="00DD7CD7">
        <w:rPr>
          <w:rFonts w:ascii="Arial Narrow" w:hAnsi="Arial Narrow"/>
          <w:b/>
          <w:color w:val="000080"/>
          <w:sz w:val="22"/>
          <w:szCs w:val="22"/>
        </w:rPr>
        <w:t>1.</w:t>
      </w:r>
      <w:r w:rsidRPr="00DD7CD7">
        <w:rPr>
          <w:rFonts w:ascii="Arial Narrow" w:hAnsi="Arial Narrow"/>
          <w:b/>
          <w:color w:val="000080"/>
          <w:sz w:val="22"/>
          <w:szCs w:val="22"/>
        </w:rPr>
        <w:tab/>
        <w:t xml:space="preserve">ИССЛЕДОВАНИЕ ТЕКУЩЕГО СОСТОЯНИЯ </w:t>
      </w:r>
      <w:r w:rsidRPr="00DD7CD7">
        <w:rPr>
          <w:rFonts w:ascii="Arial Narrow" w:hAnsi="Arial Narrow"/>
          <w:b/>
          <w:bCs/>
          <w:caps/>
          <w:color w:val="000080"/>
          <w:sz w:val="22"/>
          <w:szCs w:val="22"/>
        </w:rPr>
        <w:t>рынка базальтового волокна в Российской Федерации, а также рынка теплоизоляционных материалов на основе базальтового волокна</w:t>
      </w:r>
      <w:r w:rsidRPr="00DD7CD7">
        <w:rPr>
          <w:rFonts w:ascii="Arial Narrow" w:hAnsi="Arial Narrow"/>
          <w:b/>
          <w:color w:val="000080"/>
          <w:sz w:val="22"/>
          <w:szCs w:val="22"/>
        </w:rPr>
        <w:t>. ПРОГНОЗ РАЗВИТИЯ РЫНКА.</w:t>
      </w:r>
    </w:p>
    <w:p w:rsidR="000865CB" w:rsidRPr="00DD7CD7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DD7CD7">
        <w:rPr>
          <w:rFonts w:ascii="Arial Narrow" w:hAnsi="Arial Narrow"/>
          <w:b/>
          <w:color w:val="000080"/>
          <w:sz w:val="22"/>
          <w:szCs w:val="22"/>
        </w:rPr>
        <w:t>1.1.</w:t>
      </w:r>
      <w:r w:rsidRPr="00DD7CD7">
        <w:rPr>
          <w:rFonts w:ascii="Arial Narrow" w:hAnsi="Arial Narrow"/>
          <w:b/>
          <w:color w:val="000080"/>
          <w:sz w:val="22"/>
          <w:szCs w:val="22"/>
        </w:rPr>
        <w:tab/>
        <w:t xml:space="preserve">Выявление и детальный анализ факторов, влияющих на состояние и развитие рынка исследуемой продукции в России, включающих в себя в </w:t>
      </w:r>
      <w:proofErr w:type="spellStart"/>
      <w:r w:rsidRPr="00DD7CD7">
        <w:rPr>
          <w:rFonts w:ascii="Arial Narrow" w:hAnsi="Arial Narrow"/>
          <w:b/>
          <w:color w:val="000080"/>
          <w:sz w:val="22"/>
          <w:szCs w:val="22"/>
        </w:rPr>
        <w:t>т.ч</w:t>
      </w:r>
      <w:proofErr w:type="spellEnd"/>
      <w:r w:rsidRPr="00DD7CD7">
        <w:rPr>
          <w:rFonts w:ascii="Arial Narrow" w:hAnsi="Arial Narrow"/>
          <w:b/>
          <w:color w:val="000080"/>
          <w:sz w:val="22"/>
          <w:szCs w:val="22"/>
        </w:rPr>
        <w:t>.: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политические;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экономические;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социальные;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технологические;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экологические.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меры государственной поддержки</w:t>
      </w:r>
    </w:p>
    <w:p w:rsidR="000865CB" w:rsidRPr="00DD7CD7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DD7CD7">
        <w:rPr>
          <w:rFonts w:ascii="Arial Narrow" w:hAnsi="Arial Narrow"/>
          <w:b/>
          <w:color w:val="000080"/>
          <w:sz w:val="22"/>
          <w:szCs w:val="22"/>
        </w:rPr>
        <w:t>1.2.</w:t>
      </w:r>
      <w:r w:rsidRPr="00DD7CD7">
        <w:rPr>
          <w:rFonts w:ascii="Arial Narrow" w:hAnsi="Arial Narrow"/>
          <w:b/>
          <w:color w:val="000080"/>
          <w:sz w:val="22"/>
          <w:szCs w:val="22"/>
        </w:rPr>
        <w:tab/>
        <w:t>Характеристика рынка продукции на основе базальтового волокна в России и тенденций его развития: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 xml:space="preserve">Сегментация рынка 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Оценка объема и емкости рынка, его темпов роста (в натуральном и/или стоимостном выражении);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 xml:space="preserve">Анализ уровня и динамики цен; 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 xml:space="preserve">Анализ комплекса факторов, определяющих тенденции и динамику развития рынка </w:t>
      </w:r>
    </w:p>
    <w:p w:rsidR="000865CB" w:rsidRPr="00DD7CD7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DD7CD7">
        <w:rPr>
          <w:rFonts w:ascii="Arial Narrow" w:hAnsi="Arial Narrow"/>
          <w:b/>
          <w:color w:val="000080"/>
          <w:sz w:val="22"/>
          <w:szCs w:val="22"/>
        </w:rPr>
        <w:t>1.3.</w:t>
      </w:r>
      <w:r w:rsidRPr="00DD7CD7">
        <w:rPr>
          <w:rFonts w:ascii="Arial Narrow" w:hAnsi="Arial Narrow"/>
          <w:b/>
          <w:color w:val="000080"/>
          <w:sz w:val="22"/>
          <w:szCs w:val="22"/>
        </w:rPr>
        <w:tab/>
        <w:t>Анализ и прогноз предложения: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Характеристика структуры рынка базальтовых волокон, а также теплоизоляционных материалов на основе базальтового волокна;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Анализ тенденций рынка и отдельных его сегментов;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Определение рыночных долей основных игроков рынка;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Оценка интенсивности  конкуренции;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 xml:space="preserve">Анализ основных каналов продаж продукции;  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Оценка реализуемых и планируемых к реализации проектов по созданию аналогичных производств;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Прогноз изменения предложения на период до 2020г.</w:t>
      </w:r>
    </w:p>
    <w:p w:rsidR="000865CB" w:rsidRPr="00DD7CD7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DD7CD7">
        <w:rPr>
          <w:rFonts w:ascii="Arial Narrow" w:hAnsi="Arial Narrow"/>
          <w:b/>
          <w:color w:val="000080"/>
          <w:sz w:val="22"/>
          <w:szCs w:val="22"/>
        </w:rPr>
        <w:t>1.4.</w:t>
      </w:r>
      <w:r w:rsidRPr="00DD7CD7">
        <w:rPr>
          <w:rFonts w:ascii="Arial Narrow" w:hAnsi="Arial Narrow"/>
          <w:b/>
          <w:color w:val="000080"/>
          <w:sz w:val="22"/>
          <w:szCs w:val="22"/>
        </w:rPr>
        <w:tab/>
        <w:t>Анализ и прогноз спроса: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Определение объема потребления базальтовых волокон, а также теплоизоляционных материалов на основе базальтового волокна  в России (в натуральном и/или стоимостном выражении);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Выявление и характеристика целевых потребительских сегментов, анализ потребительских предпочтений;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Выявление основных факторов, определяющих спрос на базальтовые волокна, и на теплоизоляционные материалы на основе базальтового волокна;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Прогноз изменения спроса на период до 2020г.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lastRenderedPageBreak/>
        <w:t>Определение потенциальных сегментов потребителей продукции проекта.</w:t>
      </w:r>
    </w:p>
    <w:p w:rsidR="000865CB" w:rsidRPr="00DD7CD7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DD7CD7">
        <w:rPr>
          <w:rFonts w:ascii="Arial Narrow" w:hAnsi="Arial Narrow"/>
          <w:b/>
          <w:color w:val="000080"/>
          <w:sz w:val="22"/>
          <w:szCs w:val="22"/>
        </w:rPr>
        <w:t>1.5.</w:t>
      </w:r>
      <w:r w:rsidRPr="00DD7CD7">
        <w:rPr>
          <w:rFonts w:ascii="Arial Narrow" w:hAnsi="Arial Narrow"/>
          <w:b/>
          <w:color w:val="000080"/>
          <w:sz w:val="22"/>
          <w:szCs w:val="22"/>
        </w:rPr>
        <w:tab/>
        <w:t>Анализ сильных и слабых сторон, возможностей и угроз</w:t>
      </w:r>
      <w:r w:rsidRPr="00DD7CD7" w:rsidDel="00075979">
        <w:rPr>
          <w:rFonts w:ascii="Arial Narrow" w:hAnsi="Arial Narrow"/>
          <w:b/>
          <w:color w:val="000080"/>
          <w:sz w:val="22"/>
          <w:szCs w:val="22"/>
        </w:rPr>
        <w:t xml:space="preserve"> </w:t>
      </w:r>
      <w:r w:rsidRPr="00DD7CD7">
        <w:rPr>
          <w:rFonts w:ascii="Arial Narrow" w:hAnsi="Arial Narrow"/>
          <w:b/>
          <w:color w:val="000080"/>
          <w:sz w:val="22"/>
          <w:szCs w:val="22"/>
        </w:rPr>
        <w:t>Проекта (SWOT-анализ)</w:t>
      </w:r>
    </w:p>
    <w:p w:rsidR="000865CB" w:rsidRPr="00DD7CD7" w:rsidRDefault="000865CB" w:rsidP="000865CB">
      <w:pPr>
        <w:widowControl w:val="0"/>
        <w:tabs>
          <w:tab w:val="num" w:pos="1080"/>
        </w:tabs>
        <w:spacing w:before="120" w:after="120" w:line="20" w:lineRule="atLeast"/>
        <w:ind w:left="543"/>
        <w:rPr>
          <w:rFonts w:ascii="Arial Narrow" w:hAnsi="Arial Narrow"/>
          <w:sz w:val="22"/>
          <w:szCs w:val="22"/>
        </w:rPr>
      </w:pPr>
    </w:p>
    <w:p w:rsidR="000865CB" w:rsidRPr="00DD7CD7" w:rsidRDefault="000865CB" w:rsidP="000865CB">
      <w:pPr>
        <w:spacing w:before="120" w:after="120" w:line="20" w:lineRule="atLeast"/>
        <w:rPr>
          <w:rFonts w:ascii="Arial Narrow" w:hAnsi="Arial Narrow"/>
          <w:b/>
          <w:bCs/>
          <w:i/>
          <w:color w:val="000080"/>
          <w:sz w:val="22"/>
          <w:szCs w:val="22"/>
        </w:rPr>
      </w:pPr>
      <w:r w:rsidRPr="00DD7CD7">
        <w:rPr>
          <w:rFonts w:ascii="Arial Narrow" w:hAnsi="Arial Narrow"/>
          <w:b/>
          <w:bCs/>
          <w:i/>
          <w:color w:val="000080"/>
          <w:sz w:val="22"/>
          <w:szCs w:val="22"/>
        </w:rPr>
        <w:t>Результаты услуг по Этапу 1:</w:t>
      </w:r>
    </w:p>
    <w:p w:rsidR="000865CB" w:rsidRPr="00DD7CD7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DD7CD7">
        <w:rPr>
          <w:rFonts w:ascii="Arial Narrow" w:hAnsi="Arial Narrow"/>
          <w:bCs/>
          <w:i/>
          <w:color w:val="000080"/>
          <w:sz w:val="22"/>
          <w:szCs w:val="22"/>
        </w:rPr>
        <w:t>Отчет о результатах рыночного исследования, включающий:</w:t>
      </w:r>
    </w:p>
    <w:p w:rsidR="000865CB" w:rsidRPr="00DD7CD7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DD7CD7">
        <w:rPr>
          <w:rFonts w:ascii="Arial Narrow" w:hAnsi="Arial Narrow"/>
          <w:i/>
          <w:color w:val="000080"/>
          <w:sz w:val="22"/>
          <w:szCs w:val="22"/>
        </w:rPr>
        <w:t>Анализ факторов внешней среды, оказывающих влияние на развитие рынка базальтовых волокон и рынка теплоизоляционных материалов на основе базальтового волокна в России;</w:t>
      </w:r>
    </w:p>
    <w:p w:rsidR="000865CB" w:rsidRPr="00DD7CD7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DD7CD7">
        <w:rPr>
          <w:rFonts w:ascii="Arial Narrow" w:hAnsi="Arial Narrow"/>
          <w:i/>
          <w:color w:val="000080"/>
          <w:sz w:val="22"/>
          <w:szCs w:val="22"/>
        </w:rPr>
        <w:t>Общую характеристику рынка базальтовых волокон и рынка теплоизоляционных материалов на основе базальтового волокна России и тенденций его развития;</w:t>
      </w:r>
    </w:p>
    <w:p w:rsidR="000865CB" w:rsidRPr="00DD7CD7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DD7CD7">
        <w:rPr>
          <w:rFonts w:ascii="Arial Narrow" w:hAnsi="Arial Narrow"/>
          <w:i/>
          <w:color w:val="000080"/>
          <w:sz w:val="22"/>
          <w:szCs w:val="22"/>
        </w:rPr>
        <w:t>Характеристику предложения на рынке базальтовых волокон и рынке теплоизоляционных материалов на основе базальтового волокна и прогноз его развития до 2020  года;</w:t>
      </w:r>
    </w:p>
    <w:p w:rsidR="000865CB" w:rsidRPr="00DD7CD7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DD7CD7">
        <w:rPr>
          <w:rFonts w:ascii="Arial Narrow" w:hAnsi="Arial Narrow"/>
          <w:i/>
          <w:color w:val="000080"/>
          <w:sz w:val="22"/>
          <w:szCs w:val="22"/>
        </w:rPr>
        <w:t>Характеристику спроса на рынке базальтовых волокон и рынке теплоизоляционных материалов на основе базальтового волокна и прогноз его развития до 2020  года;</w:t>
      </w:r>
    </w:p>
    <w:p w:rsidR="000865CB" w:rsidRPr="00DD7CD7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DD7CD7">
        <w:rPr>
          <w:rFonts w:ascii="Arial Narrow" w:hAnsi="Arial Narrow"/>
          <w:i/>
          <w:color w:val="000080"/>
          <w:sz w:val="22"/>
          <w:szCs w:val="22"/>
        </w:rPr>
        <w:t>Описание потенциальных сегментов потребителей продукции проекта;</w:t>
      </w:r>
    </w:p>
    <w:p w:rsidR="000865CB" w:rsidRPr="00DD7CD7" w:rsidRDefault="000865CB" w:rsidP="000865CB">
      <w:pPr>
        <w:numPr>
          <w:ilvl w:val="0"/>
          <w:numId w:val="3"/>
        </w:numPr>
        <w:tabs>
          <w:tab w:val="num" w:pos="1080"/>
        </w:tabs>
        <w:spacing w:after="120"/>
        <w:jc w:val="both"/>
        <w:rPr>
          <w:rFonts w:ascii="Arial Narrow" w:hAnsi="Arial Narrow"/>
          <w:i/>
          <w:color w:val="000080"/>
          <w:sz w:val="22"/>
          <w:szCs w:val="22"/>
        </w:rPr>
      </w:pPr>
      <w:r w:rsidRPr="00DD7CD7">
        <w:rPr>
          <w:rFonts w:ascii="Arial Narrow" w:hAnsi="Arial Narrow"/>
          <w:i/>
          <w:color w:val="000080"/>
          <w:sz w:val="22"/>
          <w:szCs w:val="22"/>
          <w:lang w:val="en-US"/>
        </w:rPr>
        <w:t>SWOT</w:t>
      </w:r>
      <w:r w:rsidRPr="00DD7CD7">
        <w:rPr>
          <w:rFonts w:ascii="Arial Narrow" w:hAnsi="Arial Narrow"/>
          <w:i/>
          <w:color w:val="000080"/>
          <w:sz w:val="22"/>
          <w:szCs w:val="22"/>
        </w:rPr>
        <w:t>-анализ Проекта.</w:t>
      </w:r>
    </w:p>
    <w:p w:rsidR="000865CB" w:rsidRPr="00DD7CD7" w:rsidRDefault="000865CB" w:rsidP="000865CB">
      <w:pPr>
        <w:widowControl w:val="0"/>
        <w:tabs>
          <w:tab w:val="num" w:pos="1080"/>
        </w:tabs>
        <w:spacing w:before="120" w:after="120" w:line="20" w:lineRule="atLeast"/>
        <w:rPr>
          <w:rFonts w:ascii="Arial Narrow" w:hAnsi="Arial Narrow"/>
          <w:sz w:val="22"/>
          <w:szCs w:val="22"/>
        </w:rPr>
      </w:pPr>
    </w:p>
    <w:p w:rsidR="000865CB" w:rsidRPr="00DD7CD7" w:rsidRDefault="000865CB" w:rsidP="000865CB">
      <w:pPr>
        <w:spacing w:before="120" w:after="120" w:line="20" w:lineRule="atLeast"/>
        <w:ind w:left="900" w:hanging="900"/>
        <w:rPr>
          <w:rFonts w:ascii="Arial Narrow" w:hAnsi="Arial Narrow"/>
          <w:b/>
          <w:bCs/>
          <w:color w:val="000080"/>
          <w:sz w:val="22"/>
          <w:szCs w:val="22"/>
        </w:rPr>
      </w:pPr>
      <w:r w:rsidRPr="00DD7CD7">
        <w:rPr>
          <w:rFonts w:ascii="Arial Narrow" w:hAnsi="Arial Narrow"/>
          <w:b/>
          <w:bCs/>
          <w:color w:val="000080"/>
          <w:sz w:val="22"/>
          <w:szCs w:val="22"/>
        </w:rPr>
        <w:t xml:space="preserve">ЭТАП 2. </w:t>
      </w:r>
      <w:r w:rsidRPr="00DD7CD7">
        <w:rPr>
          <w:rFonts w:ascii="Arial Narrow" w:hAnsi="Arial Narrow"/>
          <w:b/>
          <w:bCs/>
          <w:caps/>
          <w:color w:val="000080"/>
          <w:sz w:val="22"/>
          <w:szCs w:val="22"/>
        </w:rPr>
        <w:t>Разработка рекомендаций по маркетинговой политике Проекта и формирование прогноза продаж продукции</w:t>
      </w:r>
    </w:p>
    <w:p w:rsidR="000865CB" w:rsidRPr="00DD7CD7" w:rsidRDefault="000865CB" w:rsidP="000865CB">
      <w:pPr>
        <w:widowControl w:val="0"/>
        <w:tabs>
          <w:tab w:val="num" w:pos="1080"/>
        </w:tabs>
        <w:spacing w:before="120" w:after="120" w:line="20" w:lineRule="atLeast"/>
        <w:ind w:left="543"/>
        <w:rPr>
          <w:rFonts w:ascii="Arial Narrow" w:hAnsi="Arial Narrow"/>
          <w:sz w:val="22"/>
          <w:szCs w:val="22"/>
        </w:rPr>
      </w:pPr>
    </w:p>
    <w:p w:rsidR="000865CB" w:rsidRPr="00DD7CD7" w:rsidRDefault="000865CB" w:rsidP="000865CB">
      <w:pPr>
        <w:widowControl w:val="0"/>
        <w:tabs>
          <w:tab w:val="left" w:pos="540"/>
        </w:tabs>
        <w:spacing w:before="240" w:line="20" w:lineRule="atLeast"/>
        <w:ind w:left="540" w:hanging="359"/>
        <w:rPr>
          <w:rFonts w:ascii="Arial Narrow" w:hAnsi="Arial Narrow"/>
          <w:b/>
          <w:color w:val="000080"/>
          <w:sz w:val="22"/>
          <w:szCs w:val="22"/>
        </w:rPr>
      </w:pPr>
      <w:r w:rsidRPr="00DD7CD7">
        <w:rPr>
          <w:rFonts w:ascii="Arial Narrow" w:hAnsi="Arial Narrow"/>
          <w:b/>
          <w:color w:val="000080"/>
          <w:sz w:val="22"/>
          <w:szCs w:val="22"/>
        </w:rPr>
        <w:t>2.</w:t>
      </w:r>
      <w:r w:rsidRPr="00DD7CD7">
        <w:rPr>
          <w:rFonts w:ascii="Arial Narrow" w:hAnsi="Arial Narrow"/>
          <w:b/>
          <w:color w:val="000080"/>
          <w:sz w:val="22"/>
          <w:szCs w:val="22"/>
        </w:rPr>
        <w:tab/>
        <w:t>РАЗРАБОТКА РЕКОМЕНДАЦИЙ ПО ФОРМИРОВАНИЮ МАРКЕТИНГОВОЙ ПОЛИТИКИ ПРОЕКТА. ФОРМИРОВАНИЕ ПРОГНОЗА ПРОДАЖ</w:t>
      </w:r>
    </w:p>
    <w:p w:rsidR="000865CB" w:rsidRPr="00DD7CD7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DD7CD7">
        <w:rPr>
          <w:rFonts w:ascii="Arial Narrow" w:hAnsi="Arial Narrow"/>
          <w:b/>
          <w:color w:val="000080"/>
          <w:sz w:val="22"/>
          <w:szCs w:val="22"/>
        </w:rPr>
        <w:t>2.1.</w:t>
      </w:r>
      <w:r w:rsidRPr="00DD7CD7">
        <w:rPr>
          <w:rFonts w:ascii="Arial Narrow" w:hAnsi="Arial Narrow"/>
          <w:b/>
          <w:color w:val="000080"/>
          <w:sz w:val="22"/>
          <w:szCs w:val="22"/>
        </w:rPr>
        <w:tab/>
        <w:t>Разработка рекомендаций по маркетинговой политике проекта: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jc w:val="both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 xml:space="preserve">Определение маркетинговых целей и задач Проекта; 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jc w:val="both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Разработка рекомендаций по продуктовой политике Проекта;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jc w:val="both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Разработка рекомендаций по формированию ценовой политики;</w:t>
      </w:r>
    </w:p>
    <w:p w:rsidR="000865CB" w:rsidRPr="00DD7CD7" w:rsidRDefault="000865CB" w:rsidP="000865CB">
      <w:pPr>
        <w:widowControl w:val="0"/>
        <w:numPr>
          <w:ilvl w:val="0"/>
          <w:numId w:val="1"/>
        </w:numPr>
        <w:tabs>
          <w:tab w:val="clear" w:pos="360"/>
          <w:tab w:val="num" w:pos="900"/>
          <w:tab w:val="num" w:pos="1080"/>
        </w:tabs>
        <w:spacing w:before="120" w:after="120" w:line="20" w:lineRule="atLeast"/>
        <w:ind w:left="900" w:hanging="357"/>
        <w:jc w:val="both"/>
        <w:rPr>
          <w:rFonts w:ascii="Arial Narrow" w:hAnsi="Arial Narrow"/>
          <w:sz w:val="22"/>
          <w:szCs w:val="22"/>
        </w:rPr>
      </w:pPr>
      <w:r w:rsidRPr="00DD7CD7">
        <w:rPr>
          <w:rFonts w:ascii="Arial Narrow" w:hAnsi="Arial Narrow"/>
          <w:sz w:val="22"/>
          <w:szCs w:val="22"/>
        </w:rPr>
        <w:t>Разработка рекомендаций по формированию сбытовой политики и системы продвижения продукции Проекта.</w:t>
      </w:r>
    </w:p>
    <w:p w:rsidR="000865CB" w:rsidRPr="00DD7CD7" w:rsidRDefault="000865CB" w:rsidP="000865CB">
      <w:pPr>
        <w:widowControl w:val="0"/>
        <w:tabs>
          <w:tab w:val="left" w:pos="720"/>
        </w:tabs>
        <w:spacing w:before="240" w:line="20" w:lineRule="atLeast"/>
        <w:ind w:left="720" w:hanging="539"/>
        <w:rPr>
          <w:rFonts w:ascii="Arial Narrow" w:hAnsi="Arial Narrow"/>
          <w:b/>
          <w:color w:val="000080"/>
          <w:sz w:val="22"/>
          <w:szCs w:val="22"/>
        </w:rPr>
      </w:pPr>
      <w:r w:rsidRPr="00DD7CD7">
        <w:rPr>
          <w:rFonts w:ascii="Arial Narrow" w:hAnsi="Arial Narrow"/>
          <w:b/>
          <w:color w:val="000080"/>
          <w:sz w:val="22"/>
          <w:szCs w:val="22"/>
        </w:rPr>
        <w:t>2.2.</w:t>
      </w:r>
      <w:r w:rsidRPr="00DD7CD7">
        <w:rPr>
          <w:rFonts w:ascii="Arial Narrow" w:hAnsi="Arial Narrow"/>
          <w:b/>
          <w:color w:val="000080"/>
          <w:sz w:val="22"/>
          <w:szCs w:val="22"/>
        </w:rPr>
        <w:tab/>
        <w:t>Прогноз выручки от продаж продукции Проекта до 2020 года</w:t>
      </w:r>
    </w:p>
    <w:p w:rsidR="000865CB" w:rsidRPr="00DD7CD7" w:rsidRDefault="000865CB" w:rsidP="000865CB">
      <w:pPr>
        <w:widowControl w:val="0"/>
        <w:tabs>
          <w:tab w:val="num" w:pos="1080"/>
        </w:tabs>
        <w:spacing w:before="120" w:after="120" w:line="20" w:lineRule="atLeast"/>
        <w:ind w:left="543"/>
        <w:rPr>
          <w:rFonts w:ascii="Arial Narrow" w:hAnsi="Arial Narrow"/>
          <w:sz w:val="22"/>
          <w:szCs w:val="22"/>
        </w:rPr>
      </w:pPr>
    </w:p>
    <w:p w:rsidR="000865CB" w:rsidRPr="00DD7CD7" w:rsidRDefault="000865CB" w:rsidP="000865CB">
      <w:pPr>
        <w:spacing w:before="120" w:after="120" w:line="20" w:lineRule="atLeast"/>
        <w:rPr>
          <w:rFonts w:ascii="Arial Narrow" w:hAnsi="Arial Narrow"/>
          <w:b/>
          <w:bCs/>
          <w:i/>
          <w:color w:val="000080"/>
          <w:sz w:val="22"/>
          <w:szCs w:val="22"/>
        </w:rPr>
      </w:pPr>
      <w:r w:rsidRPr="00DD7CD7">
        <w:rPr>
          <w:rFonts w:ascii="Arial Narrow" w:hAnsi="Arial Narrow"/>
          <w:b/>
          <w:bCs/>
          <w:i/>
          <w:color w:val="000080"/>
          <w:sz w:val="22"/>
          <w:szCs w:val="22"/>
        </w:rPr>
        <w:t>Результаты  услуг по Этапу 2:</w:t>
      </w:r>
    </w:p>
    <w:p w:rsidR="000865CB" w:rsidRPr="00DD7CD7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DD7CD7">
        <w:rPr>
          <w:rFonts w:ascii="Arial Narrow" w:hAnsi="Arial Narrow"/>
          <w:bCs/>
          <w:i/>
          <w:color w:val="000080"/>
          <w:sz w:val="22"/>
          <w:szCs w:val="22"/>
        </w:rPr>
        <w:t>Рекомендации по формированию маркетинговой политики проекта, в том числе: продуктовой, ценовой, сбытовой политике.</w:t>
      </w:r>
    </w:p>
    <w:p w:rsidR="000865CB" w:rsidRPr="00DD7CD7" w:rsidRDefault="000865CB" w:rsidP="000865CB">
      <w:pPr>
        <w:numPr>
          <w:ilvl w:val="0"/>
          <w:numId w:val="2"/>
        </w:numPr>
        <w:tabs>
          <w:tab w:val="clear" w:pos="972"/>
          <w:tab w:val="num" w:pos="360"/>
          <w:tab w:val="num" w:pos="792"/>
        </w:tabs>
        <w:spacing w:after="120" w:line="20" w:lineRule="atLeast"/>
        <w:ind w:left="788" w:hanging="539"/>
        <w:rPr>
          <w:rFonts w:ascii="Arial Narrow" w:hAnsi="Arial Narrow"/>
          <w:bCs/>
          <w:i/>
          <w:color w:val="000080"/>
          <w:sz w:val="22"/>
          <w:szCs w:val="22"/>
        </w:rPr>
      </w:pPr>
      <w:r w:rsidRPr="00DD7CD7">
        <w:rPr>
          <w:rFonts w:ascii="Arial Narrow" w:hAnsi="Arial Narrow"/>
          <w:bCs/>
          <w:i/>
          <w:color w:val="000080"/>
          <w:sz w:val="22"/>
          <w:szCs w:val="22"/>
        </w:rPr>
        <w:t>Прогноз продаж продукции завода до 2020г.</w:t>
      </w:r>
    </w:p>
    <w:sectPr w:rsidR="000865CB" w:rsidRPr="00DD7CD7" w:rsidSect="00753C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D7" w:rsidRDefault="00722CD7" w:rsidP="000865CB">
      <w:r>
        <w:separator/>
      </w:r>
    </w:p>
  </w:endnote>
  <w:endnote w:type="continuationSeparator" w:id="0">
    <w:p w:rsidR="00722CD7" w:rsidRDefault="00722CD7" w:rsidP="0008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D7" w:rsidRDefault="00722CD7" w:rsidP="000865CB">
      <w:r>
        <w:separator/>
      </w:r>
    </w:p>
  </w:footnote>
  <w:footnote w:type="continuationSeparator" w:id="0">
    <w:p w:rsidR="00722CD7" w:rsidRDefault="00722CD7" w:rsidP="0008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5517"/>
    <w:multiLevelType w:val="hybridMultilevel"/>
    <w:tmpl w:val="27740A68"/>
    <w:lvl w:ilvl="0" w:tplc="6FE62D0A">
      <w:start w:val="1"/>
      <w:numFmt w:val="bullet"/>
      <w:lvlText w:val="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2710C2"/>
    <w:multiLevelType w:val="hybridMultilevel"/>
    <w:tmpl w:val="3850B270"/>
    <w:lvl w:ilvl="0" w:tplc="FFFFFFFF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Book Antiqua" w:hAnsi="Book Antiqua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3A43245"/>
    <w:multiLevelType w:val="singleLevel"/>
    <w:tmpl w:val="EF0AF60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64829AE"/>
    <w:multiLevelType w:val="hybridMultilevel"/>
    <w:tmpl w:val="81BC73AA"/>
    <w:lvl w:ilvl="0" w:tplc="FFFFFFFF">
      <w:start w:val="1"/>
      <w:numFmt w:val="bullet"/>
      <w:lvlText w:val="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color w:val="00008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>
    <w:nsid w:val="76296791"/>
    <w:multiLevelType w:val="multilevel"/>
    <w:tmpl w:val="F6EA05F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1"/>
        </w:tabs>
        <w:ind w:left="721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2"/>
        </w:tabs>
        <w:ind w:left="10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3"/>
        </w:tabs>
        <w:ind w:left="126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4"/>
        </w:tabs>
        <w:ind w:left="18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6"/>
        </w:tabs>
        <w:ind w:left="252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7"/>
        </w:tabs>
        <w:ind w:left="27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8"/>
        </w:tabs>
        <w:ind w:left="3248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CB"/>
    <w:rsid w:val="0000565A"/>
    <w:rsid w:val="000865CB"/>
    <w:rsid w:val="001127F7"/>
    <w:rsid w:val="00722CD7"/>
    <w:rsid w:val="00753CBE"/>
    <w:rsid w:val="00803E3C"/>
    <w:rsid w:val="00B13EBE"/>
    <w:rsid w:val="00CA5207"/>
    <w:rsid w:val="00CE149C"/>
    <w:rsid w:val="00D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CB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65CB"/>
    <w:pPr>
      <w:tabs>
        <w:tab w:val="center" w:pos="4153"/>
        <w:tab w:val="right" w:pos="8306"/>
      </w:tabs>
    </w:pPr>
    <w:rPr>
      <w:b/>
      <w:sz w:val="36"/>
    </w:rPr>
  </w:style>
  <w:style w:type="character" w:customStyle="1" w:styleId="a4">
    <w:name w:val="Нижний колонтитул Знак"/>
    <w:basedOn w:val="a0"/>
    <w:link w:val="a3"/>
    <w:rsid w:val="000865CB"/>
    <w:rPr>
      <w:rFonts w:ascii="Times New Roman CYR" w:eastAsia="Times New Roman" w:hAnsi="Times New Roman CYR" w:cs="Times New Roman"/>
      <w:b/>
      <w:sz w:val="36"/>
      <w:szCs w:val="20"/>
    </w:rPr>
  </w:style>
  <w:style w:type="character" w:styleId="a5">
    <w:name w:val="footnote reference"/>
    <w:basedOn w:val="a0"/>
    <w:semiHidden/>
    <w:rsid w:val="000865CB"/>
    <w:rPr>
      <w:vertAlign w:val="superscript"/>
    </w:rPr>
  </w:style>
  <w:style w:type="paragraph" w:styleId="a6">
    <w:name w:val="footnote text"/>
    <w:basedOn w:val="a"/>
    <w:link w:val="a7"/>
    <w:semiHidden/>
    <w:rsid w:val="000865CB"/>
    <w:pPr>
      <w:ind w:left="142" w:hanging="142"/>
      <w:jc w:val="both"/>
    </w:pPr>
    <w:rPr>
      <w:rFonts w:ascii="Times New Roman" w:hAnsi="Times New Roman"/>
    </w:rPr>
  </w:style>
  <w:style w:type="character" w:customStyle="1" w:styleId="a7">
    <w:name w:val="Текст сноски Знак"/>
    <w:basedOn w:val="a0"/>
    <w:link w:val="a6"/>
    <w:semiHidden/>
    <w:rsid w:val="000865CB"/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a"/>
    <w:rsid w:val="000865CB"/>
    <w:pPr>
      <w:keepNext/>
      <w:keepLines/>
      <w:spacing w:before="120" w:after="120"/>
      <w:jc w:val="center"/>
    </w:pPr>
    <w:rPr>
      <w:rFonts w:ascii="TimesET" w:eastAsia="Calibri" w:hAnsi="TimesET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CB"/>
    <w:rPr>
      <w:rFonts w:ascii="Times New Roman CYR" w:eastAsia="Times New Roman" w:hAnsi="Times New Roman CYR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65CB"/>
    <w:pPr>
      <w:tabs>
        <w:tab w:val="center" w:pos="4153"/>
        <w:tab w:val="right" w:pos="8306"/>
      </w:tabs>
    </w:pPr>
    <w:rPr>
      <w:b/>
      <w:sz w:val="36"/>
    </w:rPr>
  </w:style>
  <w:style w:type="character" w:customStyle="1" w:styleId="a4">
    <w:name w:val="Нижний колонтитул Знак"/>
    <w:basedOn w:val="a0"/>
    <w:link w:val="a3"/>
    <w:rsid w:val="000865CB"/>
    <w:rPr>
      <w:rFonts w:ascii="Times New Roman CYR" w:eastAsia="Times New Roman" w:hAnsi="Times New Roman CYR" w:cs="Times New Roman"/>
      <w:b/>
      <w:sz w:val="36"/>
      <w:szCs w:val="20"/>
    </w:rPr>
  </w:style>
  <w:style w:type="character" w:styleId="a5">
    <w:name w:val="footnote reference"/>
    <w:basedOn w:val="a0"/>
    <w:semiHidden/>
    <w:rsid w:val="000865CB"/>
    <w:rPr>
      <w:vertAlign w:val="superscript"/>
    </w:rPr>
  </w:style>
  <w:style w:type="paragraph" w:styleId="a6">
    <w:name w:val="footnote text"/>
    <w:basedOn w:val="a"/>
    <w:link w:val="a7"/>
    <w:semiHidden/>
    <w:rsid w:val="000865CB"/>
    <w:pPr>
      <w:ind w:left="142" w:hanging="142"/>
      <w:jc w:val="both"/>
    </w:pPr>
    <w:rPr>
      <w:rFonts w:ascii="Times New Roman" w:hAnsi="Times New Roman"/>
    </w:rPr>
  </w:style>
  <w:style w:type="character" w:customStyle="1" w:styleId="a7">
    <w:name w:val="Текст сноски Знак"/>
    <w:basedOn w:val="a0"/>
    <w:link w:val="a6"/>
    <w:semiHidden/>
    <w:rsid w:val="000865CB"/>
    <w:rPr>
      <w:rFonts w:ascii="Times New Roman" w:eastAsia="Times New Roman" w:hAnsi="Times New Roman" w:cs="Times New Roman"/>
      <w:sz w:val="20"/>
      <w:szCs w:val="20"/>
    </w:rPr>
  </w:style>
  <w:style w:type="paragraph" w:customStyle="1" w:styleId="Head">
    <w:name w:val="Head"/>
    <w:basedOn w:val="a"/>
    <w:rsid w:val="000865CB"/>
    <w:pPr>
      <w:keepNext/>
      <w:keepLines/>
      <w:spacing w:before="120" w:after="120"/>
      <w:jc w:val="center"/>
    </w:pPr>
    <w:rPr>
      <w:rFonts w:ascii="TimesET" w:eastAsia="Calibri" w:hAnsi="TimesE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A.Sukhikh</dc:creator>
  <cp:lastModifiedBy>Владимир</cp:lastModifiedBy>
  <cp:revision>4</cp:revision>
  <dcterms:created xsi:type="dcterms:W3CDTF">2013-01-22T17:43:00Z</dcterms:created>
  <dcterms:modified xsi:type="dcterms:W3CDTF">2014-02-03T13:27:00Z</dcterms:modified>
</cp:coreProperties>
</file>