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8" w:rsidRPr="00E15C75" w:rsidRDefault="005435F8" w:rsidP="005435F8">
      <w:pPr>
        <w:tabs>
          <w:tab w:val="left" w:pos="3119"/>
          <w:tab w:val="left" w:pos="4962"/>
        </w:tabs>
        <w:spacing w:before="100" w:beforeAutospacing="1" w:after="100" w:afterAutospacing="1" w:line="240" w:lineRule="atLeast"/>
        <w:ind w:left="3261"/>
        <w:jc w:val="left"/>
        <w:rPr>
          <w:b/>
          <w:bCs/>
          <w:iCs/>
        </w:rPr>
      </w:pPr>
      <w:r w:rsidRPr="00E15C75">
        <w:rPr>
          <w:b/>
          <w:bCs/>
          <w:iCs/>
        </w:rPr>
        <w:t>Техническое задание</w:t>
      </w:r>
    </w:p>
    <w:p w:rsidR="0040790C" w:rsidRDefault="0040790C" w:rsidP="0040790C">
      <w:pPr>
        <w:pStyle w:val="31"/>
        <w:spacing w:before="40" w:beforeAutospacing="0" w:after="40" w:afterAutospacing="0"/>
        <w:jc w:val="center"/>
        <w:rPr>
          <w:b/>
          <w:bCs/>
        </w:rPr>
      </w:pPr>
      <w:r w:rsidRPr="0040790C">
        <w:rPr>
          <w:b/>
          <w:bCs/>
        </w:rPr>
        <w:t>на с</w:t>
      </w:r>
      <w:r w:rsidR="005435F8" w:rsidRPr="0040790C">
        <w:rPr>
          <w:b/>
          <w:bCs/>
        </w:rPr>
        <w:t xml:space="preserve">оздание единой системы управления рисками Группы ХХХХ </w:t>
      </w:r>
    </w:p>
    <w:p w:rsidR="005435F8" w:rsidRPr="0040790C" w:rsidRDefault="005435F8" w:rsidP="0040790C">
      <w:pPr>
        <w:pStyle w:val="31"/>
        <w:spacing w:before="40" w:beforeAutospacing="0" w:after="40" w:afterAutospacing="0"/>
        <w:jc w:val="center"/>
        <w:rPr>
          <w:b/>
          <w:bCs/>
        </w:rPr>
      </w:pPr>
      <w:r w:rsidRPr="0040790C">
        <w:rPr>
          <w:b/>
          <w:bCs/>
        </w:rPr>
        <w:t>и организаци</w:t>
      </w:r>
      <w:r w:rsidR="0040790C">
        <w:rPr>
          <w:b/>
          <w:bCs/>
        </w:rPr>
        <w:t xml:space="preserve">и </w:t>
      </w:r>
      <w:r w:rsidRPr="0040790C">
        <w:rPr>
          <w:b/>
          <w:bCs/>
        </w:rPr>
        <w:t xml:space="preserve">ее </w:t>
      </w:r>
      <w:r w:rsidR="0040790C">
        <w:rPr>
          <w:b/>
          <w:bCs/>
        </w:rPr>
        <w:t>мониторинга</w:t>
      </w:r>
      <w:bookmarkStart w:id="0" w:name="_GoBack"/>
      <w:bookmarkEnd w:id="0"/>
    </w:p>
    <w:p w:rsidR="005435F8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</w:p>
    <w:p w:rsidR="0040790C" w:rsidRPr="00E15C75" w:rsidRDefault="0040790C" w:rsidP="005435F8">
      <w:pPr>
        <w:pStyle w:val="31"/>
        <w:spacing w:before="40" w:beforeAutospacing="0" w:after="40" w:afterAutospacing="0"/>
        <w:jc w:val="both"/>
        <w:rPr>
          <w:rFonts w:cs="Arial"/>
        </w:rPr>
      </w:pP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 xml:space="preserve">Услуги по настоящему договору осуществляются в два этапа. </w:t>
      </w: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 xml:space="preserve">Услуги оказываются в отношении Группы </w:t>
      </w:r>
      <w:r>
        <w:rPr>
          <w:rFonts w:cs="Arial"/>
        </w:rPr>
        <w:t>ХХХХ,</w:t>
      </w:r>
      <w:r w:rsidRPr="00E15C75">
        <w:rPr>
          <w:rFonts w:cs="Arial"/>
        </w:rPr>
        <w:t xml:space="preserve"> в которую входят: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14" w:hanging="357"/>
        <w:rPr>
          <w:rFonts w:cs="Arial"/>
        </w:rPr>
      </w:pPr>
      <w:bookmarkStart w:id="1" w:name="OLE_LINK1"/>
      <w:r>
        <w:rPr>
          <w:rFonts w:cs="Arial"/>
        </w:rPr>
        <w:t>…..</w:t>
      </w:r>
    </w:p>
    <w:bookmarkEnd w:id="1"/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 xml:space="preserve">В </w:t>
      </w:r>
      <w:proofErr w:type="gramStart"/>
      <w:r w:rsidRPr="00E15C75">
        <w:rPr>
          <w:rFonts w:cs="Arial"/>
        </w:rPr>
        <w:t>отношении</w:t>
      </w:r>
      <w:proofErr w:type="gramEnd"/>
      <w:r w:rsidRPr="00E15C75">
        <w:rPr>
          <w:rFonts w:cs="Arial"/>
        </w:rPr>
        <w:t xml:space="preserve"> других компаний Группы услуги не оказываются.</w:t>
      </w: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>Формирование карт рисков будет произведено для следующих  видов деятельности:</w:t>
      </w:r>
    </w:p>
    <w:p w:rsidR="005435F8" w:rsidRPr="00E15C75" w:rsidRDefault="005435F8" w:rsidP="005435F8">
      <w:pPr>
        <w:pStyle w:val="31"/>
        <w:numPr>
          <w:ilvl w:val="0"/>
          <w:numId w:val="7"/>
        </w:numPr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>управление производственными активами группы;</w:t>
      </w:r>
    </w:p>
    <w:p w:rsidR="005435F8" w:rsidRPr="00E15C75" w:rsidRDefault="005435F8" w:rsidP="005435F8">
      <w:pPr>
        <w:pStyle w:val="31"/>
        <w:numPr>
          <w:ilvl w:val="0"/>
          <w:numId w:val="7"/>
        </w:numPr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>основная производственная деятельность;</w:t>
      </w:r>
    </w:p>
    <w:p w:rsidR="005435F8" w:rsidRPr="00E15C75" w:rsidRDefault="005435F8" w:rsidP="005435F8">
      <w:pPr>
        <w:pStyle w:val="31"/>
        <w:numPr>
          <w:ilvl w:val="0"/>
          <w:numId w:val="7"/>
        </w:numPr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>реализация проекта строительства завода по производству поликремния.</w:t>
      </w:r>
    </w:p>
    <w:p w:rsidR="005435F8" w:rsidRPr="00E15C75" w:rsidRDefault="005435F8" w:rsidP="005435F8">
      <w:pPr>
        <w:pStyle w:val="aa"/>
        <w:spacing w:before="40" w:after="40"/>
        <w:jc w:val="both"/>
        <w:rPr>
          <w:rFonts w:cs="Arial"/>
          <w:i/>
          <w:iCs/>
        </w:rPr>
      </w:pPr>
      <w:r w:rsidRPr="00E15C75">
        <w:rPr>
          <w:rFonts w:cs="Arial"/>
          <w:i/>
          <w:iCs/>
        </w:rPr>
        <w:t>Этап 1. Разработка карт рисков Группы «</w:t>
      </w:r>
      <w:r>
        <w:rPr>
          <w:rFonts w:cs="Arial"/>
          <w:i/>
          <w:iCs/>
        </w:rPr>
        <w:t>ХХХХ</w:t>
      </w:r>
      <w:r w:rsidRPr="00E15C75">
        <w:rPr>
          <w:rFonts w:cs="Arial"/>
          <w:i/>
          <w:iCs/>
        </w:rPr>
        <w:t>» и регламента управления рисками</w:t>
      </w:r>
    </w:p>
    <w:p w:rsidR="005435F8" w:rsidRPr="00E15C75" w:rsidRDefault="005435F8" w:rsidP="005435F8">
      <w:pPr>
        <w:pStyle w:val="3"/>
        <w:spacing w:before="40" w:after="40"/>
        <w:jc w:val="both"/>
        <w:rPr>
          <w:rFonts w:cs="Arial"/>
          <w:i/>
          <w:iCs/>
          <w:sz w:val="22"/>
        </w:rPr>
      </w:pPr>
      <w:r w:rsidRPr="00E15C75">
        <w:rPr>
          <w:sz w:val="22"/>
        </w:rPr>
        <w:t>Цель оказания услуг:</w:t>
      </w:r>
    </w:p>
    <w:p w:rsidR="005435F8" w:rsidRPr="00E15C75" w:rsidRDefault="005435F8" w:rsidP="005435F8">
      <w:pPr>
        <w:spacing w:before="40" w:after="40"/>
        <w:rPr>
          <w:rFonts w:cs="Arial"/>
          <w:bCs/>
        </w:rPr>
      </w:pPr>
      <w:r w:rsidRPr="00E15C75">
        <w:rPr>
          <w:rFonts w:cs="Arial"/>
          <w:bCs/>
        </w:rPr>
        <w:t>Целями данного этапа являются: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выявление и оценка возможных рисков, связанных с производственной деятельностью и системой управления компаниями Группы;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разработка регламента управления рисками.</w:t>
      </w:r>
    </w:p>
    <w:p w:rsidR="005435F8" w:rsidRPr="00E15C75" w:rsidRDefault="005435F8" w:rsidP="005435F8">
      <w:pPr>
        <w:pStyle w:val="aa"/>
        <w:spacing w:before="40" w:after="40"/>
        <w:jc w:val="both"/>
      </w:pPr>
      <w:r w:rsidRPr="00E15C75">
        <w:t>Шаг 1. Диагностика системы управления. Формирование карт рисков.</w:t>
      </w:r>
    </w:p>
    <w:p w:rsidR="005435F8" w:rsidRPr="00E15C75" w:rsidRDefault="005435F8" w:rsidP="005435F8">
      <w:pPr>
        <w:pStyle w:val="aa"/>
        <w:spacing w:before="40" w:after="40"/>
        <w:jc w:val="both"/>
      </w:pPr>
      <w:r w:rsidRPr="00E15C75">
        <w:t xml:space="preserve">Состав услуг: </w:t>
      </w:r>
    </w:p>
    <w:p w:rsidR="005435F8" w:rsidRPr="00E15C75" w:rsidRDefault="005435F8" w:rsidP="005435F8">
      <w:pPr>
        <w:pStyle w:val="ac"/>
        <w:numPr>
          <w:ilvl w:val="0"/>
          <w:numId w:val="2"/>
        </w:numPr>
        <w:spacing w:before="40" w:after="40"/>
      </w:pPr>
      <w:r w:rsidRPr="00E15C75">
        <w:t>Формирование рабочих групп. Проведение установочных совещаний по проекту и инструктажа по порядку заполнения анкет (1-я неделя).</w:t>
      </w:r>
    </w:p>
    <w:p w:rsidR="005435F8" w:rsidRPr="00E15C75" w:rsidRDefault="005435F8" w:rsidP="005435F8">
      <w:pPr>
        <w:pStyle w:val="ac"/>
        <w:numPr>
          <w:ilvl w:val="0"/>
          <w:numId w:val="2"/>
        </w:numPr>
        <w:spacing w:before="40" w:after="40"/>
      </w:pPr>
      <w:r w:rsidRPr="00E15C75">
        <w:t>Диагностика рисков.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Анализ документов, представленных перед началом работ на основании информационного запроса (1-3-я недели).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 xml:space="preserve">Проведение серии интервью с </w:t>
      </w:r>
      <w:proofErr w:type="gramStart"/>
      <w:r w:rsidRPr="00E15C75">
        <w:t>топ-менеджерами</w:t>
      </w:r>
      <w:proofErr w:type="gramEnd"/>
      <w:r w:rsidRPr="00E15C75">
        <w:t xml:space="preserve"> компаний Группы и менеджерами бизнес-направлений (1-3-я недели).</w:t>
      </w:r>
    </w:p>
    <w:p w:rsidR="005435F8" w:rsidRPr="00E15C75" w:rsidRDefault="005435F8" w:rsidP="005435F8">
      <w:pPr>
        <w:pStyle w:val="ac"/>
        <w:numPr>
          <w:ilvl w:val="2"/>
          <w:numId w:val="2"/>
        </w:numPr>
        <w:spacing w:before="40" w:after="40"/>
      </w:pPr>
      <w:r w:rsidRPr="00E15C75">
        <w:t xml:space="preserve">Первое интервью, посвященное знакомству с организацией бизнеса и выявлению рисков. После интервью </w:t>
      </w:r>
      <w:proofErr w:type="gramStart"/>
      <w:r w:rsidRPr="00E15C75">
        <w:t>интервьюируемый</w:t>
      </w:r>
      <w:proofErr w:type="gramEnd"/>
      <w:r w:rsidRPr="00E15C75">
        <w:t xml:space="preserve"> заполняет анкету.</w:t>
      </w:r>
    </w:p>
    <w:p w:rsidR="005435F8" w:rsidRPr="00E15C75" w:rsidRDefault="005435F8" w:rsidP="005435F8">
      <w:pPr>
        <w:pStyle w:val="ac"/>
        <w:numPr>
          <w:ilvl w:val="2"/>
          <w:numId w:val="2"/>
        </w:numPr>
        <w:spacing w:before="40" w:after="40"/>
      </w:pPr>
      <w:r w:rsidRPr="00E15C75">
        <w:t>Анализ заполненных анкет. При необходимости - проведение второго интервью для внесения корректировок.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Осмотр предприятия (1-3-я недели).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Проведение серии совещаний рабочих групп по направлениям по результатам проведения диагностики (4-я неделя).</w:t>
      </w:r>
    </w:p>
    <w:p w:rsidR="005435F8" w:rsidRPr="00E15C75" w:rsidRDefault="005435F8" w:rsidP="005435F8">
      <w:pPr>
        <w:pStyle w:val="ac"/>
        <w:numPr>
          <w:ilvl w:val="2"/>
          <w:numId w:val="2"/>
        </w:numPr>
        <w:spacing w:before="40" w:after="40"/>
      </w:pPr>
      <w:r w:rsidRPr="00E15C75">
        <w:t>Идентификация рисков.</w:t>
      </w:r>
    </w:p>
    <w:p w:rsidR="005435F8" w:rsidRPr="00E15C75" w:rsidRDefault="005435F8" w:rsidP="005435F8">
      <w:pPr>
        <w:pStyle w:val="ac"/>
        <w:numPr>
          <w:ilvl w:val="2"/>
          <w:numId w:val="2"/>
        </w:numPr>
        <w:spacing w:before="40" w:after="40"/>
      </w:pPr>
      <w:r w:rsidRPr="00E15C75">
        <w:t xml:space="preserve">Формирование перечней рисков, внесение </w:t>
      </w:r>
      <w:proofErr w:type="spellStart"/>
      <w:r w:rsidRPr="00E15C75">
        <w:t>невыявленных</w:t>
      </w:r>
      <w:proofErr w:type="spellEnd"/>
      <w:r w:rsidRPr="00E15C75">
        <w:t xml:space="preserve"> рисков на основании базы данных  Исполнителя.</w:t>
      </w:r>
    </w:p>
    <w:p w:rsidR="005435F8" w:rsidRPr="00E15C75" w:rsidRDefault="005435F8" w:rsidP="005435F8">
      <w:pPr>
        <w:pStyle w:val="ac"/>
        <w:numPr>
          <w:ilvl w:val="2"/>
          <w:numId w:val="2"/>
        </w:numPr>
        <w:spacing w:before="40" w:after="40"/>
      </w:pPr>
      <w:r w:rsidRPr="00E15C75">
        <w:t>Оценка рисков (расчет вероятности и ущерба).</w:t>
      </w:r>
    </w:p>
    <w:p w:rsidR="005435F8" w:rsidRPr="00E15C75" w:rsidRDefault="005435F8" w:rsidP="005435F8">
      <w:pPr>
        <w:pStyle w:val="ac"/>
        <w:spacing w:before="40" w:after="40"/>
        <w:ind w:left="360" w:firstLine="360"/>
      </w:pPr>
      <w:r w:rsidRPr="00E15C75">
        <w:t xml:space="preserve">Продолжительность каждого совещания – 5-6 часов. 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Формирование сводного перечня рисков по итогам диагностики (5-я неделя).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Формирование карт рисков по итогам диагностики (5-я неделя).</w:t>
      </w:r>
    </w:p>
    <w:p w:rsidR="005435F8" w:rsidRPr="00E15C75" w:rsidRDefault="005435F8" w:rsidP="005435F8">
      <w:pPr>
        <w:pStyle w:val="ac"/>
        <w:numPr>
          <w:ilvl w:val="0"/>
          <w:numId w:val="2"/>
        </w:numPr>
        <w:spacing w:before="40" w:after="40"/>
      </w:pPr>
      <w:r w:rsidRPr="00E15C75">
        <w:t>Разработка перечня мероприятий по управлению рисками (6-я неделя).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Рассылка перечня рисков, выявленных по итогам серии совещаний.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Сбор предложений по управлению выявленными рисками.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>Проведение серии совещаний рабочих групп по направлениям, на которых обсуждаются возможные мероприятия по управлению рисками.</w:t>
      </w:r>
    </w:p>
    <w:p w:rsidR="005435F8" w:rsidRPr="00E15C75" w:rsidRDefault="005435F8" w:rsidP="005435F8">
      <w:pPr>
        <w:pStyle w:val="ac"/>
        <w:spacing w:before="40" w:after="40"/>
        <w:ind w:left="360" w:firstLine="360"/>
      </w:pPr>
      <w:r w:rsidRPr="00E15C75">
        <w:lastRenderedPageBreak/>
        <w:t xml:space="preserve">Продолжительность каждого совещания – 5-6 часов. </w:t>
      </w:r>
    </w:p>
    <w:p w:rsidR="005435F8" w:rsidRPr="00E15C75" w:rsidRDefault="005435F8" w:rsidP="005435F8">
      <w:pPr>
        <w:pStyle w:val="ac"/>
        <w:numPr>
          <w:ilvl w:val="1"/>
          <w:numId w:val="2"/>
        </w:numPr>
        <w:spacing w:before="40" w:after="40"/>
      </w:pPr>
      <w:r w:rsidRPr="00E15C75">
        <w:t xml:space="preserve">Оценка прогнозных значений рисков при условии реализации мероприятий. </w:t>
      </w:r>
    </w:p>
    <w:p w:rsidR="005435F8" w:rsidRPr="00E15C75" w:rsidRDefault="005435F8" w:rsidP="005435F8">
      <w:pPr>
        <w:pStyle w:val="ac"/>
        <w:numPr>
          <w:ilvl w:val="0"/>
          <w:numId w:val="2"/>
        </w:numPr>
        <w:spacing w:before="40" w:after="40"/>
      </w:pPr>
      <w:r w:rsidRPr="00E15C75">
        <w:t>Формирование отчета о выявленных рисках Группы (7-я неделя).</w:t>
      </w:r>
    </w:p>
    <w:p w:rsidR="005435F8" w:rsidRPr="00E15C75" w:rsidRDefault="005435F8" w:rsidP="005435F8">
      <w:pPr>
        <w:pStyle w:val="ac"/>
        <w:numPr>
          <w:ilvl w:val="0"/>
          <w:numId w:val="2"/>
        </w:numPr>
        <w:spacing w:before="40" w:after="40"/>
      </w:pPr>
      <w:r w:rsidRPr="00E15C75">
        <w:t>Подготовка краткого меморандума (7-я неделя).</w:t>
      </w:r>
    </w:p>
    <w:p w:rsidR="005435F8" w:rsidRPr="00E15C75" w:rsidRDefault="005435F8" w:rsidP="005435F8">
      <w:pPr>
        <w:pStyle w:val="ac"/>
        <w:numPr>
          <w:ilvl w:val="0"/>
          <w:numId w:val="2"/>
        </w:numPr>
        <w:spacing w:before="40" w:after="40"/>
      </w:pPr>
      <w:r w:rsidRPr="00E15C75">
        <w:t xml:space="preserve">Подготовка и проведение презентации «Постановка управления рисками. Результаты проекта» для </w:t>
      </w:r>
      <w:proofErr w:type="gramStart"/>
      <w:r w:rsidRPr="00E15C75">
        <w:t>топ-менеджмента</w:t>
      </w:r>
      <w:proofErr w:type="gramEnd"/>
      <w:r w:rsidRPr="00E15C75">
        <w:t xml:space="preserve"> Группы (7-я неделя).</w:t>
      </w:r>
    </w:p>
    <w:p w:rsidR="005435F8" w:rsidRPr="00E15C75" w:rsidRDefault="005435F8" w:rsidP="005435F8">
      <w:pPr>
        <w:pStyle w:val="aa"/>
        <w:spacing w:before="40" w:after="40"/>
        <w:jc w:val="both"/>
        <w:rPr>
          <w:rFonts w:cs="Arial"/>
          <w:i/>
          <w:iCs/>
        </w:rPr>
      </w:pPr>
      <w:r w:rsidRPr="00E15C75">
        <w:rPr>
          <w:rFonts w:cs="Arial"/>
          <w:i/>
          <w:iCs/>
        </w:rPr>
        <w:t>Шаг 2. Разработка регламента управления рисками</w:t>
      </w:r>
    </w:p>
    <w:p w:rsidR="005435F8" w:rsidRPr="00E15C75" w:rsidRDefault="005435F8" w:rsidP="005435F8">
      <w:pPr>
        <w:pStyle w:val="3"/>
        <w:spacing w:before="40" w:after="40"/>
        <w:jc w:val="both"/>
        <w:rPr>
          <w:sz w:val="22"/>
        </w:rPr>
      </w:pPr>
      <w:r w:rsidRPr="00E15C75">
        <w:rPr>
          <w:sz w:val="22"/>
        </w:rPr>
        <w:t>Содержание услуг:</w:t>
      </w:r>
    </w:p>
    <w:p w:rsidR="005435F8" w:rsidRPr="00E15C75" w:rsidRDefault="005435F8" w:rsidP="005435F8">
      <w:pPr>
        <w:pStyle w:val="aa"/>
        <w:spacing w:before="40" w:after="40"/>
        <w:jc w:val="both"/>
      </w:pPr>
      <w:r w:rsidRPr="00E15C75">
        <w:t xml:space="preserve">Состав услуг: </w:t>
      </w:r>
    </w:p>
    <w:p w:rsidR="005435F8" w:rsidRPr="00E15C75" w:rsidRDefault="005435F8" w:rsidP="005435F8">
      <w:pPr>
        <w:pStyle w:val="ae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 w:hanging="426"/>
        <w:rPr>
          <w:rFonts w:ascii="Arial" w:hAnsi="Arial"/>
          <w:sz w:val="22"/>
        </w:rPr>
      </w:pPr>
      <w:r w:rsidRPr="00E15C75">
        <w:rPr>
          <w:rFonts w:ascii="Arial" w:hAnsi="Arial"/>
          <w:sz w:val="22"/>
        </w:rPr>
        <w:t>Формализация (описание) процессов управления рисками, в том числе: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выявления рисков,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измерения рисков,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текущего и периодического мониторинга рисков,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анализа и оценки текущего уровня рисков,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 xml:space="preserve">разработки </w:t>
      </w:r>
      <w:proofErr w:type="spellStart"/>
      <w:r w:rsidRPr="00E15C75">
        <w:rPr>
          <w:rFonts w:cs="Arial"/>
        </w:rPr>
        <w:t>антирисковых</w:t>
      </w:r>
      <w:proofErr w:type="spellEnd"/>
      <w:r w:rsidRPr="00E15C75">
        <w:rPr>
          <w:rFonts w:cs="Arial"/>
        </w:rPr>
        <w:t xml:space="preserve"> мероприятий,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ограничения и контроля рисков.</w:t>
      </w:r>
    </w:p>
    <w:p w:rsidR="005435F8" w:rsidRPr="00E15C75" w:rsidRDefault="005435F8" w:rsidP="005435F8">
      <w:pPr>
        <w:pStyle w:val="ae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 w:hanging="426"/>
        <w:rPr>
          <w:rFonts w:ascii="Arial" w:hAnsi="Arial"/>
          <w:sz w:val="22"/>
        </w:rPr>
      </w:pPr>
      <w:r w:rsidRPr="00E15C75">
        <w:rPr>
          <w:rFonts w:ascii="Arial" w:hAnsi="Arial"/>
          <w:sz w:val="22"/>
        </w:rPr>
        <w:t>Распределение ответственности за указанные процессы между уровнями управления Группы и входящих в нее предприятий.</w:t>
      </w:r>
    </w:p>
    <w:p w:rsidR="005435F8" w:rsidRPr="00E15C75" w:rsidRDefault="005435F8" w:rsidP="005435F8">
      <w:pPr>
        <w:pStyle w:val="ae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 w:hanging="426"/>
        <w:rPr>
          <w:rFonts w:ascii="Arial" w:hAnsi="Arial"/>
          <w:sz w:val="22"/>
        </w:rPr>
      </w:pPr>
      <w:r w:rsidRPr="00E15C75">
        <w:rPr>
          <w:rFonts w:ascii="Arial" w:hAnsi="Arial"/>
          <w:sz w:val="22"/>
        </w:rPr>
        <w:t>Регламентация организации и контроля управления рисками.</w:t>
      </w:r>
    </w:p>
    <w:p w:rsidR="005435F8" w:rsidRPr="00E15C75" w:rsidRDefault="005435F8" w:rsidP="005435F8">
      <w:pPr>
        <w:pStyle w:val="ae"/>
        <w:spacing w:before="40" w:after="40" w:line="240" w:lineRule="auto"/>
        <w:ind w:left="426" w:firstLine="0"/>
        <w:rPr>
          <w:rFonts w:ascii="Arial" w:hAnsi="Arial"/>
          <w:sz w:val="22"/>
        </w:rPr>
      </w:pPr>
      <w:r w:rsidRPr="00E15C75">
        <w:rPr>
          <w:rFonts w:ascii="Arial" w:hAnsi="Arial"/>
          <w:sz w:val="22"/>
        </w:rPr>
        <w:t xml:space="preserve">Регламент представляется в графическом виде (MS </w:t>
      </w:r>
      <w:proofErr w:type="spellStart"/>
      <w:r w:rsidRPr="00E15C75">
        <w:rPr>
          <w:rFonts w:ascii="Arial" w:hAnsi="Arial"/>
          <w:sz w:val="22"/>
        </w:rPr>
        <w:t>Visio</w:t>
      </w:r>
      <w:proofErr w:type="spellEnd"/>
      <w:r w:rsidRPr="00E15C75">
        <w:rPr>
          <w:rFonts w:ascii="Arial" w:hAnsi="Arial"/>
          <w:sz w:val="22"/>
        </w:rPr>
        <w:t>) и в текстовом или табличном виде по согласованию с Заказчиком.</w:t>
      </w:r>
    </w:p>
    <w:p w:rsidR="005435F8" w:rsidRPr="00E15C75" w:rsidRDefault="005435F8" w:rsidP="005435F8">
      <w:pPr>
        <w:pStyle w:val="aa"/>
        <w:spacing w:before="40" w:after="40"/>
        <w:jc w:val="both"/>
        <w:rPr>
          <w:rFonts w:cs="Arial"/>
          <w:i/>
          <w:iCs/>
        </w:rPr>
      </w:pPr>
      <w:r w:rsidRPr="00E15C75">
        <w:rPr>
          <w:rFonts w:cs="Arial"/>
          <w:i/>
          <w:iCs/>
        </w:rPr>
        <w:t>Этап 2. Формирование программы аудита системы внутреннего контроля (организация систематического мониторинга).</w:t>
      </w:r>
    </w:p>
    <w:p w:rsidR="005435F8" w:rsidRPr="00E15C75" w:rsidRDefault="005435F8" w:rsidP="005435F8">
      <w:pPr>
        <w:pStyle w:val="3"/>
        <w:spacing w:before="40" w:after="40"/>
        <w:rPr>
          <w:sz w:val="22"/>
        </w:rPr>
        <w:sectPr w:rsidR="005435F8" w:rsidRPr="00E15C75">
          <w:pgSz w:w="11906" w:h="16838" w:code="9"/>
          <w:pgMar w:top="1009" w:right="1440" w:bottom="1871" w:left="1440" w:header="720" w:footer="720" w:gutter="0"/>
          <w:cols w:space="720"/>
          <w:titlePg/>
        </w:sectPr>
      </w:pPr>
      <w:r w:rsidRPr="00E15C75">
        <w:rPr>
          <w:sz w:val="22"/>
        </w:rPr>
        <w:t>Цель оказания услуг:</w:t>
      </w:r>
    </w:p>
    <w:p w:rsidR="005435F8" w:rsidRPr="00E15C75" w:rsidRDefault="005435F8" w:rsidP="005435F8">
      <w:pPr>
        <w:pStyle w:val="ae"/>
        <w:spacing w:before="40" w:after="40" w:line="240" w:lineRule="auto"/>
        <w:ind w:left="426" w:firstLine="0"/>
        <w:rPr>
          <w:rFonts w:ascii="Arial" w:hAnsi="Arial"/>
          <w:sz w:val="22"/>
        </w:rPr>
      </w:pPr>
      <w:r w:rsidRPr="00E15C75">
        <w:rPr>
          <w:rFonts w:ascii="Arial" w:hAnsi="Arial"/>
          <w:sz w:val="22"/>
        </w:rPr>
        <w:lastRenderedPageBreak/>
        <w:t xml:space="preserve">Целью данного этапа является разработка </w:t>
      </w:r>
      <w:proofErr w:type="gramStart"/>
      <w:r w:rsidRPr="00E15C75">
        <w:rPr>
          <w:rFonts w:ascii="Arial" w:hAnsi="Arial"/>
          <w:sz w:val="22"/>
        </w:rPr>
        <w:t>риск-ориентированной</w:t>
      </w:r>
      <w:proofErr w:type="gramEnd"/>
      <w:r w:rsidRPr="00E15C75">
        <w:rPr>
          <w:rFonts w:ascii="Arial" w:hAnsi="Arial"/>
          <w:sz w:val="22"/>
        </w:rPr>
        <w:t xml:space="preserve"> Программы аудита системы внутреннего контроля (СВК), предусматривающей формализацию порядка и процедур проведения проверки в соответствии с требованиями законодательства и вышестоящих организаций, а также порядка оформления результатов проверки.</w:t>
      </w:r>
    </w:p>
    <w:p w:rsidR="005435F8" w:rsidRPr="00E15C75" w:rsidRDefault="005435F8" w:rsidP="005435F8">
      <w:pPr>
        <w:pStyle w:val="aa"/>
        <w:spacing w:before="40" w:after="40"/>
        <w:jc w:val="both"/>
      </w:pPr>
      <w:r w:rsidRPr="00E15C75">
        <w:t xml:space="preserve">Состав услуг: 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>Интервью с представителем совета директоров, отвечающим за организацию СВК, о целях и задачах СВК.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>Разработка плана-графика проведения проверок системы внутреннего контроля (год, полугодие, квартал).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 xml:space="preserve">Разработка методики подготовки и проведения проверок. 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>Разработка шаблона отчета о проведении проверок системы внутреннего контроля.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>Согласование разработанных документов с Заказчиком.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 xml:space="preserve">Тестовое проведение проверки в соответствии с разработанным планом. </w:t>
      </w:r>
    </w:p>
    <w:p w:rsidR="005435F8" w:rsidRPr="00E15C75" w:rsidRDefault="005435F8" w:rsidP="005435F8">
      <w:pPr>
        <w:pStyle w:val="ac"/>
        <w:numPr>
          <w:ilvl w:val="1"/>
          <w:numId w:val="3"/>
        </w:numPr>
        <w:tabs>
          <w:tab w:val="clear" w:pos="720"/>
          <w:tab w:val="num" w:pos="426"/>
        </w:tabs>
        <w:spacing w:before="40" w:after="40"/>
        <w:ind w:left="425" w:hanging="425"/>
      </w:pPr>
      <w:r w:rsidRPr="00E15C75">
        <w:t>Внесение изменений и дополнений в методические рекомендации по проведению проверок по результатам апробации.</w:t>
      </w:r>
    </w:p>
    <w:p w:rsidR="005435F8" w:rsidRPr="00E15C75" w:rsidRDefault="005435F8" w:rsidP="005435F8">
      <w:pPr>
        <w:pStyle w:val="3"/>
        <w:spacing w:before="40" w:after="40"/>
        <w:jc w:val="both"/>
        <w:rPr>
          <w:sz w:val="22"/>
        </w:rPr>
      </w:pPr>
      <w:r w:rsidRPr="00E15C75">
        <w:rPr>
          <w:sz w:val="22"/>
        </w:rPr>
        <w:t>Продолжительность и последовательность оказания услуг</w:t>
      </w:r>
    </w:p>
    <w:p w:rsidR="005435F8" w:rsidRPr="00E15C75" w:rsidRDefault="005435F8" w:rsidP="005435F8">
      <w:pPr>
        <w:pStyle w:val="31"/>
        <w:tabs>
          <w:tab w:val="num" w:pos="1418"/>
        </w:tabs>
        <w:spacing w:before="40" w:beforeAutospacing="0" w:after="40" w:afterAutospacing="0"/>
        <w:jc w:val="both"/>
      </w:pPr>
      <w:r w:rsidRPr="00E15C75">
        <w:t>Планируемая продолжительность работ по проекту составляет:</w:t>
      </w:r>
    </w:p>
    <w:p w:rsidR="005435F8" w:rsidRPr="00E15C75" w:rsidRDefault="005435F8" w:rsidP="005435F8">
      <w:pPr>
        <w:pStyle w:val="31"/>
        <w:tabs>
          <w:tab w:val="num" w:pos="1418"/>
        </w:tabs>
        <w:spacing w:before="40" w:beforeAutospacing="0" w:after="40" w:afterAutospacing="0"/>
        <w:jc w:val="both"/>
      </w:pPr>
      <w:r w:rsidRPr="00E15C75">
        <w:t>35 рабочих дней – по первому этапу;</w:t>
      </w:r>
    </w:p>
    <w:p w:rsidR="005435F8" w:rsidRPr="00E15C75" w:rsidRDefault="005435F8" w:rsidP="005435F8">
      <w:pPr>
        <w:pStyle w:val="31"/>
        <w:tabs>
          <w:tab w:val="num" w:pos="1418"/>
        </w:tabs>
        <w:spacing w:before="40" w:beforeAutospacing="0" w:after="40" w:afterAutospacing="0"/>
        <w:jc w:val="both"/>
      </w:pPr>
      <w:r w:rsidRPr="00E15C75">
        <w:t>20 рабочих дней – по второму этапу.</w:t>
      </w: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t xml:space="preserve">Услуги, предусмотренные Шагом 1 и Шагом 2 первого этапа, оказываются последовательно. </w:t>
      </w: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rFonts w:cs="Arial"/>
        </w:rPr>
      </w:pPr>
      <w:r w:rsidRPr="00E15C75">
        <w:rPr>
          <w:rFonts w:cs="Arial"/>
        </w:rPr>
        <w:lastRenderedPageBreak/>
        <w:t>Второй этап начинается после приемки результатов оказания услуг первого этапа и оплаты Заказчиком итогового платежа первого этапа и авансового платежа второго этапа.</w:t>
      </w:r>
    </w:p>
    <w:p w:rsidR="005435F8" w:rsidRPr="00E15C75" w:rsidRDefault="005435F8" w:rsidP="005435F8">
      <w:pPr>
        <w:pStyle w:val="31"/>
        <w:tabs>
          <w:tab w:val="num" w:pos="1418"/>
        </w:tabs>
        <w:spacing w:before="40" w:beforeAutospacing="0" w:after="40" w:afterAutospacing="0"/>
        <w:jc w:val="both"/>
      </w:pPr>
      <w:r w:rsidRPr="00E15C75">
        <w:t>Услуги оказываются проектной группой в составе не менее 2</w:t>
      </w:r>
      <w:r w:rsidRPr="00E15C75">
        <w:rPr>
          <w:vertAlign w:val="superscript"/>
        </w:rPr>
        <w:t>х</w:t>
      </w:r>
      <w:r w:rsidRPr="00E15C75">
        <w:t xml:space="preserve"> специалистов с периодическим привлечением экспертов Исполнителя по направлениям: стратегия, финансы, система управления предприятием.</w:t>
      </w:r>
    </w:p>
    <w:p w:rsidR="005435F8" w:rsidRPr="00E15C75" w:rsidRDefault="005435F8" w:rsidP="005435F8">
      <w:pPr>
        <w:pStyle w:val="3"/>
        <w:spacing w:before="40" w:after="40"/>
        <w:rPr>
          <w:sz w:val="22"/>
        </w:rPr>
        <w:sectPr w:rsidR="005435F8" w:rsidRPr="00E15C75">
          <w:footerReference w:type="default" r:id="rId8"/>
          <w:type w:val="continuous"/>
          <w:pgSz w:w="11906" w:h="16838" w:code="9"/>
          <w:pgMar w:top="1009" w:right="1440" w:bottom="1871" w:left="1440" w:header="720" w:footer="720" w:gutter="0"/>
          <w:cols w:space="720"/>
          <w:titlePg/>
        </w:sectPr>
      </w:pPr>
      <w:r w:rsidRPr="00E15C75">
        <w:rPr>
          <w:sz w:val="22"/>
        </w:rPr>
        <w:t>Итоговые отчетные документы</w:t>
      </w:r>
    </w:p>
    <w:p w:rsidR="005435F8" w:rsidRPr="00E15C75" w:rsidRDefault="005435F8" w:rsidP="005435F8">
      <w:pPr>
        <w:pStyle w:val="31"/>
        <w:tabs>
          <w:tab w:val="num" w:pos="1418"/>
        </w:tabs>
        <w:spacing w:before="40" w:beforeAutospacing="0" w:after="40" w:afterAutospacing="0"/>
        <w:jc w:val="both"/>
      </w:pPr>
      <w:r w:rsidRPr="00E15C75">
        <w:lastRenderedPageBreak/>
        <w:t>Результаты работ будут оформлены следующими документами:</w:t>
      </w: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b/>
          <w:bCs/>
        </w:rPr>
      </w:pPr>
      <w:r w:rsidRPr="00E15C75">
        <w:rPr>
          <w:b/>
          <w:bCs/>
        </w:rPr>
        <w:t>по 1 этапу: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краткий меморандум для Совета директоров Группы о проведенной работе;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 xml:space="preserve">презентация «Постановка управления рисками. Результаты проекта» для </w:t>
      </w:r>
      <w:proofErr w:type="gramStart"/>
      <w:r w:rsidRPr="00E15C75">
        <w:rPr>
          <w:rFonts w:cs="Arial"/>
        </w:rPr>
        <w:t>топ-менеджмента</w:t>
      </w:r>
      <w:proofErr w:type="gramEnd"/>
      <w:r w:rsidRPr="00E15C75">
        <w:rPr>
          <w:rFonts w:cs="Arial"/>
        </w:rPr>
        <w:t xml:space="preserve"> Группы;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отчет о выявленных рисках Группы, включающий:</w:t>
      </w:r>
    </w:p>
    <w:p w:rsidR="005435F8" w:rsidRPr="00E15C75" w:rsidRDefault="005435F8" w:rsidP="005435F8">
      <w:pPr>
        <w:pStyle w:val="ac"/>
        <w:numPr>
          <w:ilvl w:val="2"/>
          <w:numId w:val="4"/>
        </w:numPr>
        <w:spacing w:before="40" w:after="40"/>
      </w:pPr>
      <w:r w:rsidRPr="00E15C75">
        <w:t>карты рисков;</w:t>
      </w:r>
    </w:p>
    <w:p w:rsidR="005435F8" w:rsidRPr="00E15C75" w:rsidRDefault="005435F8" w:rsidP="005435F8">
      <w:pPr>
        <w:pStyle w:val="ac"/>
        <w:numPr>
          <w:ilvl w:val="2"/>
          <w:numId w:val="4"/>
        </w:numPr>
        <w:spacing w:before="40" w:after="40"/>
      </w:pPr>
      <w:r w:rsidRPr="00E15C75">
        <w:t>описание методов расчета рисков;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регламент управления рисками Группы;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предложения по внесению изменений в Приказ о распределении обязанностей, должностные инструкции и другие нормативно-регламентирующие документы компании;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план организационно-технических мероприятий по внедрению разработанного регламента;</w:t>
      </w:r>
    </w:p>
    <w:p w:rsidR="005435F8" w:rsidRPr="00E15C75" w:rsidRDefault="005435F8" w:rsidP="005435F8">
      <w:pPr>
        <w:pStyle w:val="31"/>
        <w:spacing w:before="40" w:beforeAutospacing="0" w:after="40" w:afterAutospacing="0"/>
        <w:jc w:val="both"/>
        <w:rPr>
          <w:b/>
          <w:bCs/>
        </w:rPr>
      </w:pPr>
      <w:r w:rsidRPr="00E15C75">
        <w:rPr>
          <w:b/>
          <w:bCs/>
        </w:rPr>
        <w:t>по 2 этапу: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программа аудита СВК Группы.</w:t>
      </w:r>
    </w:p>
    <w:p w:rsidR="005435F8" w:rsidRPr="00E15C75" w:rsidRDefault="005435F8" w:rsidP="005435F8">
      <w:pPr>
        <w:pStyle w:val="a"/>
        <w:tabs>
          <w:tab w:val="clear" w:pos="360"/>
          <w:tab w:val="num" w:pos="709"/>
        </w:tabs>
        <w:spacing w:before="40" w:after="40"/>
        <w:ind w:left="720"/>
        <w:rPr>
          <w:rFonts w:cs="Arial"/>
        </w:rPr>
      </w:pPr>
      <w:r w:rsidRPr="00E15C75">
        <w:rPr>
          <w:rFonts w:cs="Arial"/>
        </w:rPr>
        <w:t>методические рекомендации по проведению проверок СВК и оформлению итоговых отчетов;</w:t>
      </w:r>
    </w:p>
    <w:p w:rsidR="005435F8" w:rsidRPr="00E15C75" w:rsidRDefault="005435F8" w:rsidP="005435F8">
      <w:pPr>
        <w:pStyle w:val="a"/>
        <w:numPr>
          <w:ilvl w:val="0"/>
          <w:numId w:val="0"/>
        </w:numPr>
        <w:spacing w:before="40" w:after="40"/>
        <w:ind w:left="360"/>
        <w:rPr>
          <w:rFonts w:cs="Arial"/>
        </w:rPr>
      </w:pPr>
    </w:p>
    <w:p w:rsidR="005435F8" w:rsidRPr="00E15C75" w:rsidRDefault="005435F8" w:rsidP="005435F8">
      <w:pPr>
        <w:tabs>
          <w:tab w:val="left" w:pos="720"/>
          <w:tab w:val="left" w:pos="1440"/>
        </w:tabs>
        <w:spacing w:before="60" w:after="100" w:afterAutospacing="1" w:line="240" w:lineRule="atLeast"/>
        <w:ind w:right="57"/>
        <w:jc w:val="center"/>
        <w:rPr>
          <w:b/>
        </w:rPr>
      </w:pPr>
      <w:r w:rsidRPr="00E15C75">
        <w:rPr>
          <w:b/>
        </w:rPr>
        <w:t>ПОДПИСИ СТОРОН:</w:t>
      </w:r>
    </w:p>
    <w:sectPr w:rsidR="005435F8" w:rsidRPr="00E15C75">
      <w:footerReference w:type="default" r:id="rId9"/>
      <w:type w:val="continuous"/>
      <w:pgSz w:w="11906" w:h="16838" w:code="9"/>
      <w:pgMar w:top="1009" w:right="1440" w:bottom="187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EE" w:rsidRDefault="00F81EEE" w:rsidP="005435F8">
      <w:pPr>
        <w:spacing w:after="0"/>
      </w:pPr>
      <w:r>
        <w:separator/>
      </w:r>
    </w:p>
  </w:endnote>
  <w:endnote w:type="continuationSeparator" w:id="0">
    <w:p w:rsidR="00F81EEE" w:rsidRDefault="00F81EEE" w:rsidP="00543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64" w:rsidRDefault="00F81E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64" w:rsidRDefault="00F81E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EE" w:rsidRDefault="00F81EEE" w:rsidP="005435F8">
      <w:pPr>
        <w:spacing w:after="0"/>
      </w:pPr>
      <w:r>
        <w:separator/>
      </w:r>
    </w:p>
  </w:footnote>
  <w:footnote w:type="continuationSeparator" w:id="0">
    <w:p w:rsidR="00F81EEE" w:rsidRDefault="00F81EEE" w:rsidP="005435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814"/>
    <w:multiLevelType w:val="singleLevel"/>
    <w:tmpl w:val="5112AC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42E41"/>
    <w:multiLevelType w:val="hybridMultilevel"/>
    <w:tmpl w:val="DE702F3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D6E6C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02B2D96"/>
    <w:multiLevelType w:val="multilevel"/>
    <w:tmpl w:val="4DB45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24A6EA5"/>
    <w:multiLevelType w:val="hybridMultilevel"/>
    <w:tmpl w:val="2444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A2801"/>
    <w:multiLevelType w:val="multilevel"/>
    <w:tmpl w:val="AD3E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AD75FB"/>
    <w:multiLevelType w:val="hybridMultilevel"/>
    <w:tmpl w:val="E4C03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40F4B"/>
    <w:multiLevelType w:val="hybridMultilevel"/>
    <w:tmpl w:val="15162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8DAA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1B00D6A">
      <w:start w:val="2"/>
      <w:numFmt w:val="bullet"/>
      <w:lvlText w:val="-"/>
      <w:lvlJc w:val="left"/>
      <w:pPr>
        <w:tabs>
          <w:tab w:val="num" w:pos="2133"/>
        </w:tabs>
        <w:ind w:left="213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8"/>
    <w:rsid w:val="00096B46"/>
    <w:rsid w:val="001F5755"/>
    <w:rsid w:val="0040790C"/>
    <w:rsid w:val="005435F8"/>
    <w:rsid w:val="00F47E21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5F8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435F8"/>
    <w:pPr>
      <w:keepNext/>
      <w:spacing w:before="240" w:after="60"/>
      <w:jc w:val="left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6B46"/>
    <w:pPr>
      <w:spacing w:after="0" w:line="240" w:lineRule="auto"/>
    </w:pPr>
  </w:style>
  <w:style w:type="character" w:customStyle="1" w:styleId="30">
    <w:name w:val="Заголовок 3 Знак"/>
    <w:basedOn w:val="a1"/>
    <w:link w:val="3"/>
    <w:rsid w:val="005435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header"/>
    <w:basedOn w:val="a0"/>
    <w:link w:val="a6"/>
    <w:autoRedefine/>
    <w:rsid w:val="005435F8"/>
    <w:pPr>
      <w:pBdr>
        <w:bottom w:val="single" w:sz="4" w:space="1" w:color="auto"/>
      </w:pBdr>
      <w:tabs>
        <w:tab w:val="center" w:pos="3969"/>
        <w:tab w:val="center" w:pos="6804"/>
        <w:tab w:val="right" w:pos="9072"/>
      </w:tabs>
      <w:spacing w:after="0"/>
      <w:ind w:right="-40" w:firstLine="993"/>
      <w:jc w:val="center"/>
    </w:pPr>
    <w:rPr>
      <w:iCs/>
      <w:sz w:val="20"/>
    </w:rPr>
  </w:style>
  <w:style w:type="character" w:customStyle="1" w:styleId="a6">
    <w:name w:val="Верхний колонтитул Знак"/>
    <w:basedOn w:val="a1"/>
    <w:link w:val="a5"/>
    <w:rsid w:val="005435F8"/>
    <w:rPr>
      <w:rFonts w:ascii="Arial" w:eastAsia="Times New Roman" w:hAnsi="Arial" w:cs="Times New Roman"/>
      <w:iCs/>
      <w:sz w:val="20"/>
      <w:szCs w:val="20"/>
      <w:lang w:eastAsia="ru-RU"/>
    </w:rPr>
  </w:style>
  <w:style w:type="paragraph" w:styleId="a7">
    <w:name w:val="footer"/>
    <w:basedOn w:val="a0"/>
    <w:link w:val="a8"/>
    <w:autoRedefine/>
    <w:rsid w:val="005435F8"/>
    <w:pPr>
      <w:tabs>
        <w:tab w:val="left" w:pos="6201"/>
        <w:tab w:val="left" w:pos="6946"/>
        <w:tab w:val="right" w:pos="9072"/>
      </w:tabs>
    </w:pPr>
    <w:rPr>
      <w:rFonts w:cs="Arial"/>
      <w:iCs/>
      <w:snapToGrid w:val="0"/>
    </w:rPr>
  </w:style>
  <w:style w:type="character" w:customStyle="1" w:styleId="a8">
    <w:name w:val="Нижний колонтитул Знак"/>
    <w:basedOn w:val="a1"/>
    <w:link w:val="a7"/>
    <w:rsid w:val="005435F8"/>
    <w:rPr>
      <w:rFonts w:ascii="Arial" w:eastAsia="Times New Roman" w:hAnsi="Arial" w:cs="Arial"/>
      <w:iCs/>
      <w:snapToGrid w:val="0"/>
      <w:szCs w:val="20"/>
      <w:lang w:eastAsia="ru-RU"/>
    </w:rPr>
  </w:style>
  <w:style w:type="paragraph" w:styleId="a">
    <w:name w:val="List"/>
    <w:basedOn w:val="a0"/>
    <w:rsid w:val="005435F8"/>
    <w:pPr>
      <w:numPr>
        <w:numId w:val="1"/>
      </w:numPr>
    </w:pPr>
  </w:style>
  <w:style w:type="character" w:styleId="a9">
    <w:name w:val="page number"/>
    <w:basedOn w:val="a1"/>
    <w:rsid w:val="005435F8"/>
  </w:style>
  <w:style w:type="paragraph" w:customStyle="1" w:styleId="aa">
    <w:name w:val="Номер"/>
    <w:basedOn w:val="a0"/>
    <w:rsid w:val="005435F8"/>
    <w:pPr>
      <w:jc w:val="center"/>
    </w:pPr>
    <w:rPr>
      <w:b/>
    </w:rPr>
  </w:style>
  <w:style w:type="paragraph" w:customStyle="1" w:styleId="ab">
    <w:name w:val="Заказчик"/>
    <w:basedOn w:val="a0"/>
    <w:rsid w:val="005435F8"/>
  </w:style>
  <w:style w:type="paragraph" w:styleId="31">
    <w:name w:val="Body Text 3"/>
    <w:basedOn w:val="a0"/>
    <w:link w:val="32"/>
    <w:rsid w:val="005435F8"/>
    <w:pPr>
      <w:spacing w:before="100" w:beforeAutospacing="1" w:after="100" w:afterAutospacing="1"/>
      <w:jc w:val="left"/>
    </w:pPr>
  </w:style>
  <w:style w:type="character" w:customStyle="1" w:styleId="32">
    <w:name w:val="Основной текст 3 Знак"/>
    <w:basedOn w:val="a1"/>
    <w:link w:val="31"/>
    <w:rsid w:val="005435F8"/>
    <w:rPr>
      <w:rFonts w:ascii="Arial" w:eastAsia="Times New Roman" w:hAnsi="Arial" w:cs="Times New Roman"/>
      <w:szCs w:val="20"/>
      <w:lang w:eastAsia="ru-RU"/>
    </w:rPr>
  </w:style>
  <w:style w:type="paragraph" w:customStyle="1" w:styleId="ac">
    <w:name w:val="Для шаблона"/>
    <w:basedOn w:val="ad"/>
    <w:rsid w:val="005435F8"/>
    <w:pPr>
      <w:spacing w:after="60"/>
      <w:ind w:firstLine="567"/>
    </w:pPr>
    <w:rPr>
      <w:szCs w:val="22"/>
    </w:rPr>
  </w:style>
  <w:style w:type="paragraph" w:customStyle="1" w:styleId="ae">
    <w:name w:val="тектс отчет"/>
    <w:basedOn w:val="a0"/>
    <w:rsid w:val="005435F8"/>
    <w:pPr>
      <w:spacing w:after="0" w:line="360" w:lineRule="auto"/>
      <w:ind w:firstLine="709"/>
    </w:pPr>
    <w:rPr>
      <w:rFonts w:ascii="Times New Roman" w:hAnsi="Times New Roman" w:cs="Arial"/>
      <w:sz w:val="24"/>
      <w:szCs w:val="24"/>
    </w:rPr>
  </w:style>
  <w:style w:type="paragraph" w:styleId="2">
    <w:name w:val="Body Text 2"/>
    <w:basedOn w:val="a0"/>
    <w:link w:val="20"/>
    <w:rsid w:val="005435F8"/>
    <w:pPr>
      <w:spacing w:line="480" w:lineRule="auto"/>
    </w:pPr>
  </w:style>
  <w:style w:type="character" w:customStyle="1" w:styleId="20">
    <w:name w:val="Основной текст 2 Знак"/>
    <w:basedOn w:val="a1"/>
    <w:link w:val="2"/>
    <w:rsid w:val="005435F8"/>
    <w:rPr>
      <w:rFonts w:ascii="Arial" w:eastAsia="Times New Roman" w:hAnsi="Arial" w:cs="Times New Roman"/>
      <w:szCs w:val="20"/>
      <w:lang w:eastAsia="ru-RU"/>
    </w:rPr>
  </w:style>
  <w:style w:type="paragraph" w:customStyle="1" w:styleId="Arial1111">
    <w:name w:val="Arial11шир1.1отст"/>
    <w:basedOn w:val="a0"/>
    <w:rsid w:val="005435F8"/>
    <w:pPr>
      <w:spacing w:after="0" w:line="264" w:lineRule="auto"/>
      <w:ind w:firstLine="720"/>
    </w:pPr>
    <w:rPr>
      <w:snapToGrid w:val="0"/>
    </w:rPr>
  </w:style>
  <w:style w:type="paragraph" w:styleId="ad">
    <w:name w:val="Body Text"/>
    <w:basedOn w:val="a0"/>
    <w:link w:val="af"/>
    <w:uiPriority w:val="99"/>
    <w:semiHidden/>
    <w:unhideWhenUsed/>
    <w:rsid w:val="005435F8"/>
  </w:style>
  <w:style w:type="character" w:customStyle="1" w:styleId="af">
    <w:name w:val="Основной текст Знак"/>
    <w:basedOn w:val="a1"/>
    <w:link w:val="ad"/>
    <w:uiPriority w:val="99"/>
    <w:semiHidden/>
    <w:rsid w:val="005435F8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5F8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435F8"/>
    <w:pPr>
      <w:keepNext/>
      <w:spacing w:before="240" w:after="60"/>
      <w:jc w:val="left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6B46"/>
    <w:pPr>
      <w:spacing w:after="0" w:line="240" w:lineRule="auto"/>
    </w:pPr>
  </w:style>
  <w:style w:type="character" w:customStyle="1" w:styleId="30">
    <w:name w:val="Заголовок 3 Знак"/>
    <w:basedOn w:val="a1"/>
    <w:link w:val="3"/>
    <w:rsid w:val="005435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header"/>
    <w:basedOn w:val="a0"/>
    <w:link w:val="a6"/>
    <w:autoRedefine/>
    <w:rsid w:val="005435F8"/>
    <w:pPr>
      <w:pBdr>
        <w:bottom w:val="single" w:sz="4" w:space="1" w:color="auto"/>
      </w:pBdr>
      <w:tabs>
        <w:tab w:val="center" w:pos="3969"/>
        <w:tab w:val="center" w:pos="6804"/>
        <w:tab w:val="right" w:pos="9072"/>
      </w:tabs>
      <w:spacing w:after="0"/>
      <w:ind w:right="-40" w:firstLine="993"/>
      <w:jc w:val="center"/>
    </w:pPr>
    <w:rPr>
      <w:iCs/>
      <w:sz w:val="20"/>
    </w:rPr>
  </w:style>
  <w:style w:type="character" w:customStyle="1" w:styleId="a6">
    <w:name w:val="Верхний колонтитул Знак"/>
    <w:basedOn w:val="a1"/>
    <w:link w:val="a5"/>
    <w:rsid w:val="005435F8"/>
    <w:rPr>
      <w:rFonts w:ascii="Arial" w:eastAsia="Times New Roman" w:hAnsi="Arial" w:cs="Times New Roman"/>
      <w:iCs/>
      <w:sz w:val="20"/>
      <w:szCs w:val="20"/>
      <w:lang w:eastAsia="ru-RU"/>
    </w:rPr>
  </w:style>
  <w:style w:type="paragraph" w:styleId="a7">
    <w:name w:val="footer"/>
    <w:basedOn w:val="a0"/>
    <w:link w:val="a8"/>
    <w:autoRedefine/>
    <w:rsid w:val="005435F8"/>
    <w:pPr>
      <w:tabs>
        <w:tab w:val="left" w:pos="6201"/>
        <w:tab w:val="left" w:pos="6946"/>
        <w:tab w:val="right" w:pos="9072"/>
      </w:tabs>
    </w:pPr>
    <w:rPr>
      <w:rFonts w:cs="Arial"/>
      <w:iCs/>
      <w:snapToGrid w:val="0"/>
    </w:rPr>
  </w:style>
  <w:style w:type="character" w:customStyle="1" w:styleId="a8">
    <w:name w:val="Нижний колонтитул Знак"/>
    <w:basedOn w:val="a1"/>
    <w:link w:val="a7"/>
    <w:rsid w:val="005435F8"/>
    <w:rPr>
      <w:rFonts w:ascii="Arial" w:eastAsia="Times New Roman" w:hAnsi="Arial" w:cs="Arial"/>
      <w:iCs/>
      <w:snapToGrid w:val="0"/>
      <w:szCs w:val="20"/>
      <w:lang w:eastAsia="ru-RU"/>
    </w:rPr>
  </w:style>
  <w:style w:type="paragraph" w:styleId="a">
    <w:name w:val="List"/>
    <w:basedOn w:val="a0"/>
    <w:rsid w:val="005435F8"/>
    <w:pPr>
      <w:numPr>
        <w:numId w:val="1"/>
      </w:numPr>
    </w:pPr>
  </w:style>
  <w:style w:type="character" w:styleId="a9">
    <w:name w:val="page number"/>
    <w:basedOn w:val="a1"/>
    <w:rsid w:val="005435F8"/>
  </w:style>
  <w:style w:type="paragraph" w:customStyle="1" w:styleId="aa">
    <w:name w:val="Номер"/>
    <w:basedOn w:val="a0"/>
    <w:rsid w:val="005435F8"/>
    <w:pPr>
      <w:jc w:val="center"/>
    </w:pPr>
    <w:rPr>
      <w:b/>
    </w:rPr>
  </w:style>
  <w:style w:type="paragraph" w:customStyle="1" w:styleId="ab">
    <w:name w:val="Заказчик"/>
    <w:basedOn w:val="a0"/>
    <w:rsid w:val="005435F8"/>
  </w:style>
  <w:style w:type="paragraph" w:styleId="31">
    <w:name w:val="Body Text 3"/>
    <w:basedOn w:val="a0"/>
    <w:link w:val="32"/>
    <w:rsid w:val="005435F8"/>
    <w:pPr>
      <w:spacing w:before="100" w:beforeAutospacing="1" w:after="100" w:afterAutospacing="1"/>
      <w:jc w:val="left"/>
    </w:pPr>
  </w:style>
  <w:style w:type="character" w:customStyle="1" w:styleId="32">
    <w:name w:val="Основной текст 3 Знак"/>
    <w:basedOn w:val="a1"/>
    <w:link w:val="31"/>
    <w:rsid w:val="005435F8"/>
    <w:rPr>
      <w:rFonts w:ascii="Arial" w:eastAsia="Times New Roman" w:hAnsi="Arial" w:cs="Times New Roman"/>
      <w:szCs w:val="20"/>
      <w:lang w:eastAsia="ru-RU"/>
    </w:rPr>
  </w:style>
  <w:style w:type="paragraph" w:customStyle="1" w:styleId="ac">
    <w:name w:val="Для шаблона"/>
    <w:basedOn w:val="ad"/>
    <w:rsid w:val="005435F8"/>
    <w:pPr>
      <w:spacing w:after="60"/>
      <w:ind w:firstLine="567"/>
    </w:pPr>
    <w:rPr>
      <w:szCs w:val="22"/>
    </w:rPr>
  </w:style>
  <w:style w:type="paragraph" w:customStyle="1" w:styleId="ae">
    <w:name w:val="тектс отчет"/>
    <w:basedOn w:val="a0"/>
    <w:rsid w:val="005435F8"/>
    <w:pPr>
      <w:spacing w:after="0" w:line="360" w:lineRule="auto"/>
      <w:ind w:firstLine="709"/>
    </w:pPr>
    <w:rPr>
      <w:rFonts w:ascii="Times New Roman" w:hAnsi="Times New Roman" w:cs="Arial"/>
      <w:sz w:val="24"/>
      <w:szCs w:val="24"/>
    </w:rPr>
  </w:style>
  <w:style w:type="paragraph" w:styleId="2">
    <w:name w:val="Body Text 2"/>
    <w:basedOn w:val="a0"/>
    <w:link w:val="20"/>
    <w:rsid w:val="005435F8"/>
    <w:pPr>
      <w:spacing w:line="480" w:lineRule="auto"/>
    </w:pPr>
  </w:style>
  <w:style w:type="character" w:customStyle="1" w:styleId="20">
    <w:name w:val="Основной текст 2 Знак"/>
    <w:basedOn w:val="a1"/>
    <w:link w:val="2"/>
    <w:rsid w:val="005435F8"/>
    <w:rPr>
      <w:rFonts w:ascii="Arial" w:eastAsia="Times New Roman" w:hAnsi="Arial" w:cs="Times New Roman"/>
      <w:szCs w:val="20"/>
      <w:lang w:eastAsia="ru-RU"/>
    </w:rPr>
  </w:style>
  <w:style w:type="paragraph" w:customStyle="1" w:styleId="Arial1111">
    <w:name w:val="Arial11шир1.1отст"/>
    <w:basedOn w:val="a0"/>
    <w:rsid w:val="005435F8"/>
    <w:pPr>
      <w:spacing w:after="0" w:line="264" w:lineRule="auto"/>
      <w:ind w:firstLine="720"/>
    </w:pPr>
    <w:rPr>
      <w:snapToGrid w:val="0"/>
    </w:rPr>
  </w:style>
  <w:style w:type="paragraph" w:styleId="ad">
    <w:name w:val="Body Text"/>
    <w:basedOn w:val="a0"/>
    <w:link w:val="af"/>
    <w:uiPriority w:val="99"/>
    <w:semiHidden/>
    <w:unhideWhenUsed/>
    <w:rsid w:val="005435F8"/>
  </w:style>
  <w:style w:type="character" w:customStyle="1" w:styleId="af">
    <w:name w:val="Основной текст Знак"/>
    <w:basedOn w:val="a1"/>
    <w:link w:val="ad"/>
    <w:uiPriority w:val="99"/>
    <w:semiHidden/>
    <w:rsid w:val="005435F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2014-02-10T12:17:00Z</dcterms:created>
  <dcterms:modified xsi:type="dcterms:W3CDTF">2014-02-10T12:30:00Z</dcterms:modified>
</cp:coreProperties>
</file>