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D4" w:rsidRPr="004578D4" w:rsidRDefault="004578D4" w:rsidP="004578D4">
      <w:pPr>
        <w:jc w:val="center"/>
        <w:rPr>
          <w:b/>
          <w:sz w:val="24"/>
          <w:szCs w:val="24"/>
        </w:rPr>
      </w:pPr>
      <w:r w:rsidRPr="004578D4">
        <w:rPr>
          <w:rFonts w:ascii="Arial" w:hAnsi="Arial" w:cs="Arial"/>
          <w:b/>
          <w:sz w:val="24"/>
          <w:szCs w:val="24"/>
        </w:rPr>
        <w:t xml:space="preserve">Проведение </w:t>
      </w:r>
      <w:r w:rsidRPr="004578D4">
        <w:rPr>
          <w:rFonts w:ascii="Arial" w:hAnsi="Arial" w:cs="Arial"/>
          <w:b/>
          <w:sz w:val="24"/>
          <w:szCs w:val="24"/>
          <w:lang w:val="en-US"/>
        </w:rPr>
        <w:t>Due</w:t>
      </w:r>
      <w:r w:rsidRPr="004578D4">
        <w:rPr>
          <w:rFonts w:ascii="Arial" w:hAnsi="Arial" w:cs="Arial"/>
          <w:b/>
          <w:sz w:val="24"/>
          <w:szCs w:val="24"/>
        </w:rPr>
        <w:t xml:space="preserve"> </w:t>
      </w:r>
      <w:r w:rsidRPr="004578D4">
        <w:rPr>
          <w:rFonts w:ascii="Arial" w:hAnsi="Arial" w:cs="Arial"/>
          <w:b/>
          <w:sz w:val="24"/>
          <w:szCs w:val="24"/>
          <w:lang w:val="en-US"/>
        </w:rPr>
        <w:t>Diligence</w:t>
      </w:r>
      <w:r w:rsidRPr="004578D4">
        <w:rPr>
          <w:rFonts w:ascii="Arial" w:hAnsi="Arial" w:cs="Arial"/>
          <w:b/>
          <w:sz w:val="24"/>
          <w:szCs w:val="24"/>
        </w:rPr>
        <w:t xml:space="preserve"> электросетевой компании</w:t>
      </w:r>
    </w:p>
    <w:p w:rsidR="004578D4" w:rsidRDefault="004578D4">
      <w:pPr>
        <w:rPr>
          <w:lang w:val="en-US"/>
        </w:rPr>
      </w:pPr>
    </w:p>
    <w:p w:rsidR="00F5746A" w:rsidRDefault="00F5746A">
      <w:r>
        <w:t>Деятельность Объекта включала строительство подстанций, подключение потребителей и передача электроэнергии.</w:t>
      </w:r>
    </w:p>
    <w:p w:rsidR="00982ADE" w:rsidRPr="00982ADE" w:rsidRDefault="004578D4">
      <w:r>
        <w:t xml:space="preserve">Услуги </w:t>
      </w:r>
      <w:r>
        <w:rPr>
          <w:lang w:val="en-US"/>
        </w:rPr>
        <w:t>Due</w:t>
      </w:r>
      <w:r w:rsidRPr="004578D4">
        <w:t xml:space="preserve"> </w:t>
      </w:r>
      <w:r>
        <w:rPr>
          <w:lang w:val="en-US"/>
        </w:rPr>
        <w:t>Diligence</w:t>
      </w:r>
      <w:r>
        <w:t xml:space="preserve"> заключаются в оценке следующих рисков</w:t>
      </w:r>
      <w:r w:rsidR="00982ADE">
        <w:t>:</w:t>
      </w:r>
    </w:p>
    <w:p w:rsidR="00982ADE" w:rsidRDefault="00982ADE" w:rsidP="00982ADE">
      <w:pPr>
        <w:pStyle w:val="a3"/>
        <w:numPr>
          <w:ilvl w:val="0"/>
          <w:numId w:val="1"/>
        </w:numPr>
      </w:pPr>
      <w:r w:rsidRPr="00A3454E">
        <w:rPr>
          <w:b/>
        </w:rPr>
        <w:t>Основные средства</w:t>
      </w:r>
      <w:r>
        <w:t xml:space="preserve"> – их стоимость, оценка, степень износа, статус использования (часть оборудования может быть законсервировано по тем или иным причинам), разрешения на эксплуатацию, нормы амортизации, оборудование к установке и т.д.</w:t>
      </w:r>
    </w:p>
    <w:p w:rsidR="00982ADE" w:rsidRDefault="00982ADE" w:rsidP="00982ADE">
      <w:pPr>
        <w:pStyle w:val="a3"/>
        <w:numPr>
          <w:ilvl w:val="0"/>
          <w:numId w:val="1"/>
        </w:numPr>
      </w:pPr>
      <w:r w:rsidRPr="00A3454E">
        <w:rPr>
          <w:b/>
        </w:rPr>
        <w:t>Незавершенное строительство</w:t>
      </w:r>
      <w:r>
        <w:t xml:space="preserve"> – полнота и состав капитализируемых затрат, бюджеты текущих незавершенных проектов, затраты и сроки, необходимые для завершения текущих проектов. Договорные условия с подрядчиками и поставщиками технологического оборудования, в частности, обязательства по финансированию работ в установленные сроки, а также ответственность в рамках государственно-частного партнерства перед инвесторами за срыв сроков.</w:t>
      </w:r>
    </w:p>
    <w:p w:rsidR="00982ADE" w:rsidRDefault="00982ADE" w:rsidP="00982ADE">
      <w:pPr>
        <w:pStyle w:val="a3"/>
        <w:numPr>
          <w:ilvl w:val="0"/>
          <w:numId w:val="1"/>
        </w:numPr>
      </w:pPr>
      <w:r>
        <w:rPr>
          <w:b/>
        </w:rPr>
        <w:t xml:space="preserve">Инвестиционная программа и тарифы </w:t>
      </w:r>
      <w:r>
        <w:t>– в частности, для обоснования тарифов на передачу электроэнергии. Анализ выполнения инвестиционной программы в прошедшие периоды. Возможность завышения расходов в рамках инвестиционной программы для обоснования более высоких тарифов, а также завышения фактических расходов (а также осуществление фиктивных расходов) для соответствия актуальных показателей, запланированных ранее.</w:t>
      </w:r>
    </w:p>
    <w:p w:rsidR="00982ADE" w:rsidRDefault="00982ADE" w:rsidP="00982ADE">
      <w:pPr>
        <w:pStyle w:val="a3"/>
        <w:numPr>
          <w:ilvl w:val="0"/>
          <w:numId w:val="1"/>
        </w:numPr>
      </w:pPr>
      <w:r w:rsidRPr="00A3454E">
        <w:rPr>
          <w:b/>
        </w:rPr>
        <w:t>Дебиторская задолженность</w:t>
      </w:r>
      <w:r>
        <w:t xml:space="preserve"> поставщиков/подрядчикам по выданным авансам, в частности, на строительство, а также государственных органов в рамках государственно-частного партнерства</w:t>
      </w:r>
    </w:p>
    <w:p w:rsidR="00982ADE" w:rsidRDefault="00982ADE" w:rsidP="00982ADE">
      <w:pPr>
        <w:pStyle w:val="a3"/>
        <w:numPr>
          <w:ilvl w:val="0"/>
          <w:numId w:val="1"/>
        </w:numPr>
      </w:pPr>
      <w:r w:rsidRPr="00A3454E">
        <w:rPr>
          <w:b/>
        </w:rPr>
        <w:t>Кредиторская задолженность</w:t>
      </w:r>
      <w:r>
        <w:t xml:space="preserve"> – обязательства по полученным авансам, а также расчетам с поставщиками и подрядчиками. Риски неисполнения, санкции. Неотраженная кредиторская задолженность перед государственными органами в рамках государственно-частного партнерства, в частност</w:t>
      </w:r>
      <w:proofErr w:type="gramStart"/>
      <w:r>
        <w:t>и-</w:t>
      </w:r>
      <w:proofErr w:type="gramEnd"/>
      <w:r>
        <w:t xml:space="preserve">  за оказанные </w:t>
      </w:r>
      <w:proofErr w:type="spellStart"/>
      <w:r>
        <w:t>гос.органами</w:t>
      </w:r>
      <w:proofErr w:type="spellEnd"/>
      <w:r>
        <w:t xml:space="preserve"> услуги.</w:t>
      </w:r>
    </w:p>
    <w:p w:rsidR="00982ADE" w:rsidRDefault="00982ADE" w:rsidP="00982ADE">
      <w:pPr>
        <w:pStyle w:val="a3"/>
        <w:numPr>
          <w:ilvl w:val="0"/>
          <w:numId w:val="1"/>
        </w:numPr>
      </w:pPr>
      <w:r w:rsidRPr="00A3454E">
        <w:rPr>
          <w:b/>
        </w:rPr>
        <w:t>Кредитные договоры</w:t>
      </w:r>
      <w:r>
        <w:t>, а также иные договорные отношения по привлечению финансирования – основания для требования досрочного погашения (</w:t>
      </w:r>
      <w:r>
        <w:rPr>
          <w:lang w:val="en-US"/>
        </w:rPr>
        <w:t>covenants</w:t>
      </w:r>
      <w:r w:rsidRPr="0066081A">
        <w:t>)</w:t>
      </w:r>
      <w:r>
        <w:t>, обеспечение.</w:t>
      </w:r>
    </w:p>
    <w:p w:rsidR="00982ADE" w:rsidRDefault="00982ADE" w:rsidP="00982ADE">
      <w:pPr>
        <w:pStyle w:val="a3"/>
        <w:numPr>
          <w:ilvl w:val="0"/>
          <w:numId w:val="1"/>
        </w:numPr>
      </w:pPr>
      <w:r w:rsidRPr="00A3454E">
        <w:rPr>
          <w:b/>
        </w:rPr>
        <w:t xml:space="preserve">Выручка </w:t>
      </w:r>
      <w:r>
        <w:t xml:space="preserve">– структура выручки (передача электроэнергии, присоединение абонентов), </w:t>
      </w:r>
      <w:proofErr w:type="spellStart"/>
      <w:r>
        <w:t>неотражаемая</w:t>
      </w:r>
      <w:proofErr w:type="spellEnd"/>
      <w:r>
        <w:t xml:space="preserve"> в учете выручка – реализация излишней электроэнергии за счет завышения норм потерь в договорах с поставщиками электроэнергии. </w:t>
      </w:r>
    </w:p>
    <w:p w:rsidR="00982ADE" w:rsidRDefault="00982ADE" w:rsidP="00982ADE">
      <w:pPr>
        <w:pStyle w:val="a3"/>
        <w:numPr>
          <w:ilvl w:val="0"/>
          <w:numId w:val="1"/>
        </w:numPr>
      </w:pPr>
      <w:r w:rsidRPr="00A3454E">
        <w:rPr>
          <w:b/>
        </w:rPr>
        <w:t>Затраты</w:t>
      </w:r>
      <w:r>
        <w:t xml:space="preserve"> – структура затрат, распределение затрат по направлениям деятельности, нетипичные и </w:t>
      </w:r>
      <w:proofErr w:type="spellStart"/>
      <w:r>
        <w:t>неотражаемые</w:t>
      </w:r>
      <w:proofErr w:type="spellEnd"/>
      <w:r>
        <w:t xml:space="preserve"> расходы.</w:t>
      </w:r>
    </w:p>
    <w:p w:rsidR="00982ADE" w:rsidRDefault="00982ADE" w:rsidP="00982ADE">
      <w:pPr>
        <w:pStyle w:val="a3"/>
        <w:numPr>
          <w:ilvl w:val="0"/>
          <w:numId w:val="1"/>
        </w:numPr>
      </w:pPr>
      <w:r>
        <w:t xml:space="preserve">Анализ </w:t>
      </w:r>
      <w:r w:rsidRPr="00A3454E">
        <w:rPr>
          <w:b/>
        </w:rPr>
        <w:t>налоговой нагрузки</w:t>
      </w:r>
      <w:r>
        <w:t>, сравнение со средней по отрасли для диагностики объема возможных нарушений.</w:t>
      </w:r>
    </w:p>
    <w:p w:rsidR="00982ADE" w:rsidRPr="00B614CD" w:rsidRDefault="00982ADE" w:rsidP="00982ADE">
      <w:pPr>
        <w:pStyle w:val="a3"/>
        <w:numPr>
          <w:ilvl w:val="0"/>
          <w:numId w:val="1"/>
        </w:numPr>
      </w:pPr>
      <w:r>
        <w:t xml:space="preserve">Налоговый эффект используемых способов уменьшения налогооблагаемой базы, сопутствующие </w:t>
      </w:r>
      <w:r w:rsidRPr="00A3454E">
        <w:rPr>
          <w:b/>
        </w:rPr>
        <w:t>налоговые риски</w:t>
      </w:r>
      <w:r w:rsidRPr="009C1B71">
        <w:t xml:space="preserve"> </w:t>
      </w:r>
      <w:r>
        <w:t>по НДС, налогу на прибыль, налогам на ФОТ.</w:t>
      </w:r>
    </w:p>
    <w:p w:rsidR="00B614CD" w:rsidRDefault="00B614CD" w:rsidP="00982ADE">
      <w:pPr>
        <w:pStyle w:val="a3"/>
        <w:numPr>
          <w:ilvl w:val="0"/>
          <w:numId w:val="1"/>
        </w:numPr>
      </w:pPr>
      <w:r>
        <w:t xml:space="preserve">Налоговые риски по </w:t>
      </w:r>
      <w:r w:rsidRPr="00B614CD">
        <w:rPr>
          <w:b/>
        </w:rPr>
        <w:t>налогу на прибыль</w:t>
      </w:r>
      <w:r>
        <w:t xml:space="preserve">, возникающие вследствие признания части расходов экономически </w:t>
      </w:r>
      <w:proofErr w:type="gramStart"/>
      <w:r>
        <w:t>необоснованными</w:t>
      </w:r>
      <w:proofErr w:type="gramEnd"/>
    </w:p>
    <w:p w:rsidR="00982ADE" w:rsidRDefault="00982ADE"/>
    <w:p w:rsidR="00982ADE" w:rsidRDefault="00982ADE"/>
    <w:p w:rsidR="004578D4" w:rsidRPr="004578D4" w:rsidRDefault="004578D4" w:rsidP="004578D4">
      <w:pPr>
        <w:jc w:val="center"/>
        <w:rPr>
          <w:rFonts w:ascii="Arial" w:hAnsi="Arial" w:cs="Arial"/>
          <w:b/>
          <w:sz w:val="24"/>
          <w:szCs w:val="24"/>
        </w:rPr>
      </w:pPr>
      <w:r w:rsidRPr="004578D4">
        <w:rPr>
          <w:rFonts w:ascii="Arial" w:hAnsi="Arial" w:cs="Arial"/>
          <w:b/>
          <w:sz w:val="24"/>
          <w:szCs w:val="24"/>
        </w:rPr>
        <w:t xml:space="preserve">Проведение </w:t>
      </w:r>
      <w:r w:rsidRPr="004578D4">
        <w:rPr>
          <w:rFonts w:ascii="Arial" w:hAnsi="Arial" w:cs="Arial"/>
          <w:b/>
          <w:sz w:val="24"/>
          <w:szCs w:val="24"/>
          <w:lang w:val="en-US"/>
        </w:rPr>
        <w:t>Due</w:t>
      </w:r>
      <w:r w:rsidRPr="004578D4">
        <w:rPr>
          <w:rFonts w:ascii="Arial" w:hAnsi="Arial" w:cs="Arial"/>
          <w:b/>
          <w:sz w:val="24"/>
          <w:szCs w:val="24"/>
        </w:rPr>
        <w:t xml:space="preserve"> </w:t>
      </w:r>
      <w:r w:rsidRPr="004578D4">
        <w:rPr>
          <w:rFonts w:ascii="Arial" w:hAnsi="Arial" w:cs="Arial"/>
          <w:b/>
          <w:sz w:val="24"/>
          <w:szCs w:val="24"/>
          <w:lang w:val="en-US"/>
        </w:rPr>
        <w:t>Diligence</w:t>
      </w:r>
      <w:r w:rsidRPr="004578D4">
        <w:rPr>
          <w:rFonts w:ascii="Arial" w:hAnsi="Arial" w:cs="Arial"/>
          <w:b/>
          <w:sz w:val="24"/>
          <w:szCs w:val="24"/>
        </w:rPr>
        <w:t xml:space="preserve"> группы компаний в сфере малой энергетики</w:t>
      </w:r>
    </w:p>
    <w:p w:rsidR="004578D4" w:rsidRDefault="004578D4"/>
    <w:p w:rsidR="00A3454E" w:rsidRDefault="009C1B71">
      <w:r>
        <w:t xml:space="preserve">Объектом проверки являлась группа компаний, включающая 7 юридических лиц. Деятельность Объекта включала эксплуатацию газотурбинных тепло-электростанций, выработку и реализацию тепло- и электроэнергии, а также строительство ГТ </w:t>
      </w:r>
      <w:proofErr w:type="gramStart"/>
      <w:r>
        <w:t>ТЭЦ</w:t>
      </w:r>
      <w:proofErr w:type="gramEnd"/>
      <w:r>
        <w:t xml:space="preserve"> как собственными силами, так и с привлечением подрядчиков</w:t>
      </w:r>
      <w:r w:rsidR="00A3454E">
        <w:t>.</w:t>
      </w:r>
    </w:p>
    <w:p w:rsidR="004578D4" w:rsidRPr="00982ADE" w:rsidRDefault="004578D4" w:rsidP="004578D4">
      <w:r>
        <w:t xml:space="preserve">Услуги </w:t>
      </w:r>
      <w:r>
        <w:rPr>
          <w:lang w:val="en-US"/>
        </w:rPr>
        <w:t>Due</w:t>
      </w:r>
      <w:r w:rsidRPr="004578D4">
        <w:t xml:space="preserve"> </w:t>
      </w:r>
      <w:r>
        <w:rPr>
          <w:lang w:val="en-US"/>
        </w:rPr>
        <w:t>Diligence</w:t>
      </w:r>
      <w:r>
        <w:t xml:space="preserve"> заключаются в оценке следующих рисков:</w:t>
      </w:r>
    </w:p>
    <w:p w:rsidR="00A3454E" w:rsidRPr="00122519" w:rsidRDefault="00982ADE">
      <w:pPr>
        <w:rPr>
          <w:u w:val="single"/>
          <w:lang w:val="en-US"/>
        </w:rPr>
      </w:pPr>
      <w:bookmarkStart w:id="0" w:name="_GoBack"/>
      <w:bookmarkEnd w:id="0"/>
      <w:r w:rsidRPr="00122519">
        <w:rPr>
          <w:u w:val="single"/>
          <w:lang w:val="en-US"/>
        </w:rPr>
        <w:t xml:space="preserve">1. </w:t>
      </w:r>
      <w:r w:rsidRPr="00122519">
        <w:rPr>
          <w:u w:val="single"/>
        </w:rPr>
        <w:t xml:space="preserve">Операционный </w:t>
      </w:r>
      <w:r w:rsidRPr="00122519">
        <w:rPr>
          <w:u w:val="single"/>
          <w:lang w:val="en-US"/>
        </w:rPr>
        <w:t>Due Diligence</w:t>
      </w:r>
    </w:p>
    <w:p w:rsidR="00982ADE" w:rsidRDefault="00982ADE" w:rsidP="00982ADE">
      <w:pPr>
        <w:pStyle w:val="a3"/>
        <w:numPr>
          <w:ilvl w:val="0"/>
          <w:numId w:val="2"/>
        </w:numPr>
      </w:pPr>
      <w:r>
        <w:t>Неэффективное распределение ключевых полномочий между сотрудниками Объекта и сотрудниками компаний, не входящих в периметр проверки. Как следствие - возможность потери управления после осуществления сделки.</w:t>
      </w:r>
    </w:p>
    <w:p w:rsidR="00982ADE" w:rsidRDefault="00982ADE" w:rsidP="00982ADE">
      <w:pPr>
        <w:pStyle w:val="a3"/>
        <w:numPr>
          <w:ilvl w:val="0"/>
          <w:numId w:val="2"/>
        </w:numPr>
      </w:pPr>
      <w:r>
        <w:t>Риски существенного изменения условий деятельности при смене собственника.</w:t>
      </w:r>
    </w:p>
    <w:p w:rsidR="00982ADE" w:rsidRPr="00122519" w:rsidRDefault="00982ADE" w:rsidP="00982ADE">
      <w:pPr>
        <w:rPr>
          <w:u w:val="single"/>
          <w:lang w:val="en-US"/>
        </w:rPr>
      </w:pPr>
      <w:r w:rsidRPr="00122519">
        <w:rPr>
          <w:u w:val="single"/>
        </w:rPr>
        <w:t xml:space="preserve">2. Юридический </w:t>
      </w:r>
      <w:r w:rsidRPr="00122519">
        <w:rPr>
          <w:u w:val="single"/>
          <w:lang w:val="en-US"/>
        </w:rPr>
        <w:t>Due Diligence</w:t>
      </w:r>
    </w:p>
    <w:p w:rsidR="00982ADE" w:rsidRDefault="00982ADE" w:rsidP="00982ADE">
      <w:pPr>
        <w:pStyle w:val="a3"/>
        <w:numPr>
          <w:ilvl w:val="0"/>
          <w:numId w:val="3"/>
        </w:numPr>
      </w:pPr>
      <w:r>
        <w:t xml:space="preserve">Недостатки в </w:t>
      </w:r>
      <w:r w:rsidR="00B614CD">
        <w:t xml:space="preserve">части </w:t>
      </w:r>
      <w:r>
        <w:t>корпоративн</w:t>
      </w:r>
      <w:r w:rsidR="00B614CD">
        <w:t>ого права – правоустанавливающие документы, возможность оспаривания прав текущих акционеров</w:t>
      </w:r>
    </w:p>
    <w:p w:rsidR="00B614CD" w:rsidRDefault="00B614CD" w:rsidP="00982ADE">
      <w:pPr>
        <w:pStyle w:val="a3"/>
        <w:numPr>
          <w:ilvl w:val="0"/>
          <w:numId w:val="3"/>
        </w:numPr>
      </w:pPr>
      <w:r>
        <w:t xml:space="preserve">Риски утраты права собственности на существенные активы – земельные участки, объекты </w:t>
      </w:r>
      <w:proofErr w:type="spellStart"/>
      <w:r>
        <w:t>недвидимости</w:t>
      </w:r>
      <w:proofErr w:type="spellEnd"/>
      <w:r>
        <w:t>, риски признания объектов недвижимости самовольными постройками.</w:t>
      </w:r>
    </w:p>
    <w:p w:rsidR="00B614CD" w:rsidRDefault="00B614CD" w:rsidP="00982ADE">
      <w:pPr>
        <w:pStyle w:val="a3"/>
        <w:numPr>
          <w:ilvl w:val="0"/>
          <w:numId w:val="3"/>
        </w:numPr>
      </w:pPr>
      <w:proofErr w:type="gramStart"/>
      <w:r>
        <w:t>Риски признания недействительными договоров, как с третьими, так и аффилированными лицами, существенных для осуществления деятельности Объекта.</w:t>
      </w:r>
      <w:proofErr w:type="gramEnd"/>
    </w:p>
    <w:p w:rsidR="00B614CD" w:rsidRDefault="00B614CD" w:rsidP="00982ADE">
      <w:pPr>
        <w:pStyle w:val="a3"/>
        <w:numPr>
          <w:ilvl w:val="0"/>
          <w:numId w:val="3"/>
        </w:numPr>
      </w:pPr>
      <w:r>
        <w:t>Судебные разбирательства</w:t>
      </w:r>
    </w:p>
    <w:p w:rsidR="00B614CD" w:rsidRDefault="00B614CD" w:rsidP="00982ADE">
      <w:pPr>
        <w:pStyle w:val="a3"/>
        <w:numPr>
          <w:ilvl w:val="0"/>
          <w:numId w:val="3"/>
        </w:numPr>
      </w:pPr>
      <w:r>
        <w:t>Риски неучтенных обязатель</w:t>
      </w:r>
      <w:proofErr w:type="gramStart"/>
      <w:r>
        <w:t>ств в св</w:t>
      </w:r>
      <w:proofErr w:type="gramEnd"/>
      <w:r>
        <w:t>язи с низкой культурой документооборота.</w:t>
      </w:r>
    </w:p>
    <w:p w:rsidR="00B614CD" w:rsidRPr="00122519" w:rsidRDefault="00B614CD" w:rsidP="00B614CD">
      <w:pPr>
        <w:rPr>
          <w:u w:val="single"/>
          <w:lang w:val="en-US"/>
        </w:rPr>
      </w:pPr>
      <w:r w:rsidRPr="00122519">
        <w:rPr>
          <w:u w:val="single"/>
        </w:rPr>
        <w:t xml:space="preserve">3. Финансовый и налоговый </w:t>
      </w:r>
      <w:r w:rsidRPr="00122519">
        <w:rPr>
          <w:u w:val="single"/>
          <w:lang w:val="en-US"/>
        </w:rPr>
        <w:t>Due Diligence</w:t>
      </w:r>
    </w:p>
    <w:p w:rsidR="00B614CD" w:rsidRDefault="00B614CD" w:rsidP="00B614CD">
      <w:pPr>
        <w:pStyle w:val="a3"/>
        <w:numPr>
          <w:ilvl w:val="0"/>
          <w:numId w:val="4"/>
        </w:numPr>
      </w:pPr>
      <w:r w:rsidRPr="00122519">
        <w:rPr>
          <w:b/>
        </w:rPr>
        <w:t>Основные средства и незавершенное строительство</w:t>
      </w:r>
      <w:r>
        <w:t xml:space="preserve"> – оценка, политика капитализации расходов, нормы амортизации, степень завершенности проектов по строительству, ответственность подрядчиков и перед контрагентами</w:t>
      </w:r>
    </w:p>
    <w:p w:rsidR="00B614CD" w:rsidRDefault="00B614CD" w:rsidP="00B614CD">
      <w:pPr>
        <w:pStyle w:val="a3"/>
        <w:numPr>
          <w:ilvl w:val="0"/>
          <w:numId w:val="4"/>
        </w:numPr>
      </w:pPr>
      <w:r w:rsidRPr="00122519">
        <w:rPr>
          <w:b/>
        </w:rPr>
        <w:t>Запасы</w:t>
      </w:r>
      <w:r>
        <w:t xml:space="preserve"> – выявление неэффективных и </w:t>
      </w:r>
      <w:r w:rsidR="00122519">
        <w:t>залежалых запасов, коррекция финансового результата.</w:t>
      </w:r>
    </w:p>
    <w:p w:rsidR="00122519" w:rsidRDefault="00122519" w:rsidP="00B614CD">
      <w:pPr>
        <w:pStyle w:val="a3"/>
        <w:numPr>
          <w:ilvl w:val="0"/>
          <w:numId w:val="4"/>
        </w:numPr>
      </w:pPr>
      <w:r w:rsidRPr="00122519">
        <w:rPr>
          <w:b/>
        </w:rPr>
        <w:t>Дебиторская задолженность</w:t>
      </w:r>
      <w:r>
        <w:t xml:space="preserve"> – сомнительная дебиторская задолженность.</w:t>
      </w:r>
    </w:p>
    <w:p w:rsidR="00122519" w:rsidRDefault="00122519" w:rsidP="00122519">
      <w:pPr>
        <w:pStyle w:val="a3"/>
        <w:numPr>
          <w:ilvl w:val="0"/>
          <w:numId w:val="4"/>
        </w:numPr>
      </w:pPr>
      <w:r w:rsidRPr="00122519">
        <w:rPr>
          <w:b/>
        </w:rPr>
        <w:t>Неотраженные обязательства</w:t>
      </w:r>
      <w:r>
        <w:t xml:space="preserve">, в том числе связанные с </w:t>
      </w:r>
      <w:proofErr w:type="gramStart"/>
      <w:r>
        <w:t>незавершенным</w:t>
      </w:r>
      <w:proofErr w:type="gramEnd"/>
      <w:r>
        <w:t xml:space="preserve"> </w:t>
      </w:r>
      <w:proofErr w:type="spellStart"/>
      <w:r>
        <w:t>строителсьтвом</w:t>
      </w:r>
      <w:proofErr w:type="spellEnd"/>
      <w:r>
        <w:t>.</w:t>
      </w:r>
    </w:p>
    <w:p w:rsidR="00122519" w:rsidRDefault="00122519" w:rsidP="00122519">
      <w:pPr>
        <w:pStyle w:val="a3"/>
        <w:numPr>
          <w:ilvl w:val="0"/>
          <w:numId w:val="4"/>
        </w:numPr>
      </w:pPr>
      <w:r w:rsidRPr="00122519">
        <w:rPr>
          <w:b/>
        </w:rPr>
        <w:t>Выручка</w:t>
      </w:r>
      <w:r>
        <w:t xml:space="preserve"> – </w:t>
      </w:r>
      <w:proofErr w:type="spellStart"/>
      <w:r>
        <w:t>неотражаемая</w:t>
      </w:r>
      <w:proofErr w:type="spellEnd"/>
      <w:r>
        <w:t xml:space="preserve"> выручка, концентрация выручки.</w:t>
      </w:r>
    </w:p>
    <w:p w:rsidR="00B614CD" w:rsidRDefault="00122519" w:rsidP="00122519">
      <w:pPr>
        <w:pStyle w:val="a3"/>
        <w:numPr>
          <w:ilvl w:val="0"/>
          <w:numId w:val="4"/>
        </w:numPr>
      </w:pPr>
      <w:r w:rsidRPr="00122519">
        <w:rPr>
          <w:b/>
        </w:rPr>
        <w:t>Расходы</w:t>
      </w:r>
      <w:r>
        <w:t xml:space="preserve"> – структура, нетипичные расходы, </w:t>
      </w:r>
      <w:proofErr w:type="spellStart"/>
      <w:r>
        <w:t>неотражаемые</w:t>
      </w:r>
      <w:proofErr w:type="spellEnd"/>
      <w:r>
        <w:t xml:space="preserve"> в учете расходы</w:t>
      </w:r>
    </w:p>
    <w:p w:rsidR="00122519" w:rsidRDefault="00122519" w:rsidP="004578D4">
      <w:pPr>
        <w:pStyle w:val="a3"/>
        <w:numPr>
          <w:ilvl w:val="0"/>
          <w:numId w:val="4"/>
        </w:numPr>
      </w:pPr>
      <w:r w:rsidRPr="00122519">
        <w:rPr>
          <w:b/>
        </w:rPr>
        <w:t>Финансовый результат</w:t>
      </w:r>
      <w:r>
        <w:t xml:space="preserve"> – прибыльность различных направлений бизнеса, корректировки финансового результата по результатам </w:t>
      </w:r>
      <w:r>
        <w:rPr>
          <w:lang w:val="en-US"/>
        </w:rPr>
        <w:t>Due</w:t>
      </w:r>
      <w:r w:rsidRPr="00122519">
        <w:t xml:space="preserve"> </w:t>
      </w:r>
      <w:r>
        <w:rPr>
          <w:lang w:val="en-US"/>
        </w:rPr>
        <w:t>Diligence</w:t>
      </w:r>
      <w:r w:rsidRPr="00122519">
        <w:t>.</w:t>
      </w:r>
    </w:p>
    <w:sectPr w:rsidR="00122519" w:rsidSect="001A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9C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1">
    <w:nsid w:val="284E0026"/>
    <w:multiLevelType w:val="hybridMultilevel"/>
    <w:tmpl w:val="C62C2060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4817FC6"/>
    <w:multiLevelType w:val="hybridMultilevel"/>
    <w:tmpl w:val="2562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5167F"/>
    <w:multiLevelType w:val="hybridMultilevel"/>
    <w:tmpl w:val="620C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F4751"/>
    <w:multiLevelType w:val="hybridMultilevel"/>
    <w:tmpl w:val="507A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7117E"/>
    <w:multiLevelType w:val="hybridMultilevel"/>
    <w:tmpl w:val="7594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95"/>
    <w:rsid w:val="00122519"/>
    <w:rsid w:val="001A6D5A"/>
    <w:rsid w:val="00311095"/>
    <w:rsid w:val="004578D4"/>
    <w:rsid w:val="006543AA"/>
    <w:rsid w:val="0066081A"/>
    <w:rsid w:val="008609AC"/>
    <w:rsid w:val="00916B26"/>
    <w:rsid w:val="00982ADE"/>
    <w:rsid w:val="009C1B71"/>
    <w:rsid w:val="00A3454E"/>
    <w:rsid w:val="00B614CD"/>
    <w:rsid w:val="00D2454A"/>
    <w:rsid w:val="00D63522"/>
    <w:rsid w:val="00EB54FE"/>
    <w:rsid w:val="00F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AA"/>
    <w:pPr>
      <w:ind w:left="720"/>
      <w:contextualSpacing/>
    </w:pPr>
  </w:style>
  <w:style w:type="paragraph" w:styleId="3">
    <w:name w:val="Body Text 3"/>
    <w:basedOn w:val="a"/>
    <w:link w:val="30"/>
    <w:rsid w:val="001225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25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сновной текст 23"/>
    <w:basedOn w:val="a"/>
    <w:rsid w:val="00122519"/>
    <w:pPr>
      <w:widowControl w:val="0"/>
      <w:tabs>
        <w:tab w:val="left" w:pos="709"/>
      </w:tabs>
      <w:overflowPunct w:val="0"/>
      <w:autoSpaceDE w:val="0"/>
      <w:autoSpaceDN w:val="0"/>
      <w:adjustRightInd w:val="0"/>
      <w:spacing w:before="240" w:after="0" w:line="280" w:lineRule="exact"/>
      <w:jc w:val="both"/>
      <w:textAlignment w:val="baseline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AA"/>
    <w:pPr>
      <w:ind w:left="720"/>
      <w:contextualSpacing/>
    </w:pPr>
  </w:style>
  <w:style w:type="paragraph" w:styleId="3">
    <w:name w:val="Body Text 3"/>
    <w:basedOn w:val="a"/>
    <w:link w:val="30"/>
    <w:rsid w:val="001225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25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сновной текст 23"/>
    <w:basedOn w:val="a"/>
    <w:rsid w:val="00122519"/>
    <w:pPr>
      <w:widowControl w:val="0"/>
      <w:tabs>
        <w:tab w:val="left" w:pos="709"/>
      </w:tabs>
      <w:overflowPunct w:val="0"/>
      <w:autoSpaceDE w:val="0"/>
      <w:autoSpaceDN w:val="0"/>
      <w:adjustRightInd w:val="0"/>
      <w:spacing w:before="240" w:after="0" w:line="280" w:lineRule="exact"/>
      <w:jc w:val="both"/>
      <w:textAlignment w:val="baseline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Пшенников</dc:creator>
  <cp:lastModifiedBy>Владимир</cp:lastModifiedBy>
  <cp:revision>3</cp:revision>
  <dcterms:created xsi:type="dcterms:W3CDTF">2013-01-22T14:43:00Z</dcterms:created>
  <dcterms:modified xsi:type="dcterms:W3CDTF">2014-01-31T11:51:00Z</dcterms:modified>
</cp:coreProperties>
</file>